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35E8D" w14:textId="1DEA8DA3" w:rsidR="003917BE" w:rsidRPr="003917BE" w:rsidRDefault="00A20D9D" w:rsidP="003917BE">
      <w:pPr>
        <w:pBdr>
          <w:bottom w:val="single" w:sz="8" w:space="21" w:color="4F81BD" w:themeColor="accent1"/>
        </w:pBdr>
        <w:contextualSpacing/>
        <w:jc w:val="center"/>
        <w:rPr>
          <w:rFonts w:asciiTheme="minorHAnsi" w:eastAsiaTheme="majorEastAsia" w:hAnsiTheme="minorHAnsi" w:cstheme="minorHAnsi"/>
          <w:b/>
          <w:spacing w:val="5"/>
          <w:kern w:val="28"/>
          <w:sz w:val="40"/>
          <w:szCs w:val="40"/>
        </w:rPr>
      </w:pPr>
      <w:r>
        <w:rPr>
          <w:rFonts w:asciiTheme="minorHAnsi" w:eastAsiaTheme="majorEastAsia" w:hAnsiTheme="minorHAnsi" w:cstheme="minorHAnsi"/>
          <w:b/>
          <w:spacing w:val="5"/>
          <w:kern w:val="28"/>
          <w:sz w:val="40"/>
          <w:szCs w:val="40"/>
        </w:rPr>
        <w:t>202</w:t>
      </w:r>
      <w:r w:rsidR="00A52F94">
        <w:rPr>
          <w:rFonts w:asciiTheme="minorHAnsi" w:eastAsiaTheme="majorEastAsia" w:hAnsiTheme="minorHAnsi" w:cstheme="minorHAnsi"/>
          <w:b/>
          <w:spacing w:val="5"/>
          <w:kern w:val="28"/>
          <w:sz w:val="40"/>
          <w:szCs w:val="40"/>
        </w:rPr>
        <w:t>4</w:t>
      </w:r>
      <w:r w:rsidRPr="009C56F7">
        <w:rPr>
          <w:rFonts w:asciiTheme="minorHAnsi" w:eastAsiaTheme="majorEastAsia" w:hAnsiTheme="minorHAnsi" w:cstheme="minorHAnsi"/>
          <w:b/>
          <w:spacing w:val="5"/>
          <w:kern w:val="28"/>
          <w:sz w:val="40"/>
          <w:szCs w:val="40"/>
        </w:rPr>
        <w:t xml:space="preserve"> </w:t>
      </w:r>
      <w:r w:rsidR="004C53D8">
        <w:rPr>
          <w:rFonts w:asciiTheme="minorHAnsi" w:eastAsiaTheme="majorEastAsia" w:hAnsiTheme="minorHAnsi" w:cstheme="minorHAnsi"/>
          <w:b/>
          <w:spacing w:val="5"/>
          <w:kern w:val="28"/>
          <w:sz w:val="40"/>
          <w:szCs w:val="40"/>
        </w:rPr>
        <w:t>Bill</w:t>
      </w:r>
      <w:r w:rsidR="00A93B0F">
        <w:rPr>
          <w:rFonts w:asciiTheme="minorHAnsi" w:eastAsiaTheme="majorEastAsia" w:hAnsiTheme="minorHAnsi" w:cstheme="minorHAnsi"/>
          <w:b/>
          <w:spacing w:val="5"/>
          <w:kern w:val="28"/>
          <w:sz w:val="40"/>
          <w:szCs w:val="40"/>
        </w:rPr>
        <w:t xml:space="preserve"> and Rate</w:t>
      </w:r>
      <w:r w:rsidR="004C53D8">
        <w:rPr>
          <w:rFonts w:asciiTheme="minorHAnsi" w:eastAsiaTheme="majorEastAsia" w:hAnsiTheme="minorHAnsi" w:cstheme="minorHAnsi"/>
          <w:b/>
          <w:spacing w:val="5"/>
          <w:kern w:val="28"/>
          <w:sz w:val="40"/>
          <w:szCs w:val="40"/>
        </w:rPr>
        <w:t xml:space="preserve"> Impacts</w:t>
      </w:r>
    </w:p>
    <w:sdt>
      <w:sdtPr>
        <w:rPr>
          <w:rFonts w:ascii="Calibri" w:eastAsia="SimSun" w:hAnsi="Calibri" w:cs="Times New Roman"/>
          <w:b w:val="0"/>
          <w:bCs w:val="0"/>
          <w:color w:val="auto"/>
          <w:sz w:val="22"/>
          <w:szCs w:val="22"/>
          <w:lang w:eastAsia="zh-CN"/>
        </w:rPr>
        <w:id w:val="-352655764"/>
        <w:docPartObj>
          <w:docPartGallery w:val="Table of Contents"/>
          <w:docPartUnique/>
        </w:docPartObj>
      </w:sdtPr>
      <w:sdtEndPr>
        <w:rPr>
          <w:noProof/>
        </w:rPr>
      </w:sdtEndPr>
      <w:sdtContent>
        <w:p w14:paraId="58D4B20B" w14:textId="51599A35" w:rsidR="003917BE" w:rsidRPr="00BC2617" w:rsidRDefault="003917BE" w:rsidP="00F77544">
          <w:pPr>
            <w:pStyle w:val="TOCHeading"/>
            <w:rPr>
              <w:rFonts w:asciiTheme="minorHAnsi" w:hAnsiTheme="minorHAnsi" w:cstheme="minorHAnsi"/>
            </w:rPr>
          </w:pPr>
          <w:r w:rsidRPr="00BF26C3">
            <w:rPr>
              <w:rFonts w:asciiTheme="minorHAnsi" w:hAnsiTheme="minorHAnsi" w:cstheme="minorHAnsi"/>
              <w:color w:val="auto"/>
              <w:sz w:val="22"/>
              <w:szCs w:val="22"/>
              <w:shd w:val="clear" w:color="auto" w:fill="FFFFFF" w:themeFill="background1"/>
            </w:rPr>
            <w:t>Table of Contents</w:t>
          </w:r>
        </w:p>
        <w:p w14:paraId="2FB6D9A3" w14:textId="3C179C96" w:rsidR="00DF5EA9" w:rsidRDefault="003917BE">
          <w:pPr>
            <w:pStyle w:val="TOC1"/>
            <w:tabs>
              <w:tab w:val="left" w:pos="440"/>
              <w:tab w:val="right" w:leader="dot" w:pos="9350"/>
            </w:tabs>
            <w:rPr>
              <w:rFonts w:eastAsiaTheme="minorEastAsia" w:cstheme="minorBidi"/>
              <w:bCs w:val="0"/>
              <w:iCs w:val="0"/>
              <w:noProof/>
              <w:szCs w:val="22"/>
              <w:lang w:eastAsia="en-US"/>
            </w:rPr>
          </w:pPr>
          <w:r>
            <w:rPr>
              <w:iCs w:val="0"/>
            </w:rPr>
            <w:fldChar w:fldCharType="begin"/>
          </w:r>
          <w:r>
            <w:rPr>
              <w:iCs w:val="0"/>
            </w:rPr>
            <w:instrText xml:space="preserve"> TOC \o "1-3" \h \z \u </w:instrText>
          </w:r>
          <w:r>
            <w:rPr>
              <w:iCs w:val="0"/>
            </w:rPr>
            <w:fldChar w:fldCharType="separate"/>
          </w:r>
          <w:hyperlink w:anchor="_Toc115442335" w:history="1">
            <w:r w:rsidR="00DF5EA9" w:rsidRPr="00183E76">
              <w:rPr>
                <w:rStyle w:val="Hyperlink"/>
                <w:noProof/>
              </w:rPr>
              <w:t>1</w:t>
            </w:r>
            <w:r w:rsidR="00DF5EA9">
              <w:rPr>
                <w:rFonts w:eastAsiaTheme="minorEastAsia" w:cstheme="minorBidi"/>
                <w:bCs w:val="0"/>
                <w:iCs w:val="0"/>
                <w:noProof/>
                <w:szCs w:val="22"/>
                <w:lang w:eastAsia="en-US"/>
              </w:rPr>
              <w:tab/>
            </w:r>
            <w:r w:rsidR="00DF5EA9" w:rsidRPr="00183E76">
              <w:rPr>
                <w:rStyle w:val="Hyperlink"/>
                <w:noProof/>
              </w:rPr>
              <w:t>Summary</w:t>
            </w:r>
            <w:r w:rsidR="00DF5EA9">
              <w:rPr>
                <w:noProof/>
                <w:webHidden/>
              </w:rPr>
              <w:tab/>
            </w:r>
            <w:r w:rsidR="00DF5EA9">
              <w:rPr>
                <w:noProof/>
                <w:webHidden/>
              </w:rPr>
              <w:fldChar w:fldCharType="begin"/>
            </w:r>
            <w:r w:rsidR="00DF5EA9">
              <w:rPr>
                <w:noProof/>
                <w:webHidden/>
              </w:rPr>
              <w:instrText xml:space="preserve"> PAGEREF _Toc115442335 \h </w:instrText>
            </w:r>
            <w:r w:rsidR="00DF5EA9">
              <w:rPr>
                <w:noProof/>
                <w:webHidden/>
              </w:rPr>
            </w:r>
            <w:r w:rsidR="00DF5EA9">
              <w:rPr>
                <w:noProof/>
                <w:webHidden/>
              </w:rPr>
              <w:fldChar w:fldCharType="separate"/>
            </w:r>
            <w:r w:rsidR="00DF5EA9">
              <w:rPr>
                <w:noProof/>
                <w:webHidden/>
              </w:rPr>
              <w:t>1</w:t>
            </w:r>
            <w:r w:rsidR="00DF5EA9">
              <w:rPr>
                <w:noProof/>
                <w:webHidden/>
              </w:rPr>
              <w:fldChar w:fldCharType="end"/>
            </w:r>
          </w:hyperlink>
        </w:p>
        <w:p w14:paraId="14C80C2C" w14:textId="24978F28" w:rsidR="00DF5EA9" w:rsidRDefault="00161057">
          <w:pPr>
            <w:pStyle w:val="TOC1"/>
            <w:tabs>
              <w:tab w:val="left" w:pos="440"/>
              <w:tab w:val="right" w:leader="dot" w:pos="9350"/>
            </w:tabs>
            <w:rPr>
              <w:rFonts w:eastAsiaTheme="minorEastAsia" w:cstheme="minorBidi"/>
              <w:bCs w:val="0"/>
              <w:iCs w:val="0"/>
              <w:noProof/>
              <w:szCs w:val="22"/>
              <w:lang w:eastAsia="en-US"/>
            </w:rPr>
          </w:pPr>
          <w:hyperlink w:anchor="_Toc115442336" w:history="1">
            <w:r w:rsidR="00DF5EA9" w:rsidRPr="00183E76">
              <w:rPr>
                <w:rStyle w:val="Hyperlink"/>
                <w:noProof/>
              </w:rPr>
              <w:t>2</w:t>
            </w:r>
            <w:r w:rsidR="00DF5EA9">
              <w:rPr>
                <w:rFonts w:eastAsiaTheme="minorEastAsia" w:cstheme="minorBidi"/>
                <w:bCs w:val="0"/>
                <w:iCs w:val="0"/>
                <w:noProof/>
                <w:szCs w:val="22"/>
                <w:lang w:eastAsia="en-US"/>
              </w:rPr>
              <w:tab/>
            </w:r>
            <w:r w:rsidR="00DF5EA9" w:rsidRPr="00183E76">
              <w:rPr>
                <w:rStyle w:val="Hyperlink"/>
                <w:noProof/>
              </w:rPr>
              <w:t>Key Findings</w:t>
            </w:r>
            <w:r w:rsidR="00DF5EA9">
              <w:rPr>
                <w:noProof/>
                <w:webHidden/>
              </w:rPr>
              <w:tab/>
            </w:r>
            <w:r w:rsidR="00DF5EA9">
              <w:rPr>
                <w:noProof/>
                <w:webHidden/>
              </w:rPr>
              <w:fldChar w:fldCharType="begin"/>
            </w:r>
            <w:r w:rsidR="00DF5EA9">
              <w:rPr>
                <w:noProof/>
                <w:webHidden/>
              </w:rPr>
              <w:instrText xml:space="preserve"> PAGEREF _Toc115442336 \h </w:instrText>
            </w:r>
            <w:r w:rsidR="00DF5EA9">
              <w:rPr>
                <w:noProof/>
                <w:webHidden/>
              </w:rPr>
            </w:r>
            <w:r w:rsidR="00DF5EA9">
              <w:rPr>
                <w:noProof/>
                <w:webHidden/>
              </w:rPr>
              <w:fldChar w:fldCharType="separate"/>
            </w:r>
            <w:r w:rsidR="00DF5EA9">
              <w:rPr>
                <w:noProof/>
                <w:webHidden/>
              </w:rPr>
              <w:t>1</w:t>
            </w:r>
            <w:r w:rsidR="00DF5EA9">
              <w:rPr>
                <w:noProof/>
                <w:webHidden/>
              </w:rPr>
              <w:fldChar w:fldCharType="end"/>
            </w:r>
          </w:hyperlink>
        </w:p>
        <w:p w14:paraId="5987B22C" w14:textId="48C22926" w:rsidR="00DF5EA9" w:rsidRDefault="00161057">
          <w:pPr>
            <w:pStyle w:val="TOC1"/>
            <w:tabs>
              <w:tab w:val="left" w:pos="440"/>
              <w:tab w:val="right" w:leader="dot" w:pos="9350"/>
            </w:tabs>
            <w:rPr>
              <w:rFonts w:eastAsiaTheme="minorEastAsia" w:cstheme="minorBidi"/>
              <w:bCs w:val="0"/>
              <w:iCs w:val="0"/>
              <w:noProof/>
              <w:szCs w:val="22"/>
              <w:lang w:eastAsia="en-US"/>
            </w:rPr>
          </w:pPr>
          <w:hyperlink w:anchor="_Toc115442337" w:history="1">
            <w:r w:rsidR="00DF5EA9" w:rsidRPr="00183E76">
              <w:rPr>
                <w:rStyle w:val="Hyperlink"/>
                <w:noProof/>
              </w:rPr>
              <w:t>3</w:t>
            </w:r>
            <w:r w:rsidR="00DF5EA9">
              <w:rPr>
                <w:rFonts w:eastAsiaTheme="minorEastAsia" w:cstheme="minorBidi"/>
                <w:bCs w:val="0"/>
                <w:iCs w:val="0"/>
                <w:noProof/>
                <w:szCs w:val="22"/>
                <w:lang w:eastAsia="en-US"/>
              </w:rPr>
              <w:tab/>
            </w:r>
            <w:r w:rsidR="00DF5EA9" w:rsidRPr="00183E76">
              <w:rPr>
                <w:rStyle w:val="Hyperlink"/>
                <w:noProof/>
              </w:rPr>
              <w:t>Electric Bill Impacts</w:t>
            </w:r>
            <w:r w:rsidR="00DF5EA9">
              <w:rPr>
                <w:noProof/>
                <w:webHidden/>
              </w:rPr>
              <w:tab/>
            </w:r>
            <w:r w:rsidR="00DF5EA9">
              <w:rPr>
                <w:noProof/>
                <w:webHidden/>
              </w:rPr>
              <w:fldChar w:fldCharType="begin"/>
            </w:r>
            <w:r w:rsidR="00DF5EA9">
              <w:rPr>
                <w:noProof/>
                <w:webHidden/>
              </w:rPr>
              <w:instrText xml:space="preserve"> PAGEREF _Toc115442337 \h </w:instrText>
            </w:r>
            <w:r w:rsidR="00DF5EA9">
              <w:rPr>
                <w:noProof/>
                <w:webHidden/>
              </w:rPr>
            </w:r>
            <w:r w:rsidR="00DF5EA9">
              <w:rPr>
                <w:noProof/>
                <w:webHidden/>
              </w:rPr>
              <w:fldChar w:fldCharType="separate"/>
            </w:r>
            <w:r w:rsidR="00DF5EA9">
              <w:rPr>
                <w:noProof/>
                <w:webHidden/>
              </w:rPr>
              <w:t>1</w:t>
            </w:r>
            <w:r w:rsidR="00DF5EA9">
              <w:rPr>
                <w:noProof/>
                <w:webHidden/>
              </w:rPr>
              <w:fldChar w:fldCharType="end"/>
            </w:r>
          </w:hyperlink>
        </w:p>
        <w:p w14:paraId="45CB390C" w14:textId="5DFA377A" w:rsidR="00DF5EA9" w:rsidRDefault="00161057">
          <w:pPr>
            <w:pStyle w:val="TOC2"/>
            <w:tabs>
              <w:tab w:val="left" w:pos="880"/>
              <w:tab w:val="right" w:leader="dot" w:pos="9350"/>
            </w:tabs>
            <w:rPr>
              <w:rFonts w:eastAsiaTheme="minorEastAsia" w:cstheme="minorBidi"/>
              <w:bCs w:val="0"/>
              <w:noProof/>
              <w:lang w:eastAsia="en-US"/>
            </w:rPr>
          </w:pPr>
          <w:hyperlink w:anchor="_Toc115442338" w:history="1">
            <w:r w:rsidR="00DF5EA9" w:rsidRPr="00183E76">
              <w:rPr>
                <w:rStyle w:val="Hyperlink"/>
                <w:noProof/>
              </w:rPr>
              <w:t>3.1</w:t>
            </w:r>
            <w:r w:rsidR="00DF5EA9">
              <w:rPr>
                <w:rFonts w:eastAsiaTheme="minorEastAsia" w:cstheme="minorBidi"/>
                <w:bCs w:val="0"/>
                <w:noProof/>
                <w:lang w:eastAsia="en-US"/>
              </w:rPr>
              <w:tab/>
            </w:r>
            <w:r w:rsidR="00DF5EA9" w:rsidRPr="00183E76">
              <w:rPr>
                <w:rStyle w:val="Hyperlink"/>
                <w:noProof/>
              </w:rPr>
              <w:t>Methodology</w:t>
            </w:r>
            <w:r w:rsidR="00DF5EA9">
              <w:rPr>
                <w:noProof/>
                <w:webHidden/>
              </w:rPr>
              <w:tab/>
            </w:r>
            <w:r w:rsidR="00DF5EA9">
              <w:rPr>
                <w:noProof/>
                <w:webHidden/>
              </w:rPr>
              <w:fldChar w:fldCharType="begin"/>
            </w:r>
            <w:r w:rsidR="00DF5EA9">
              <w:rPr>
                <w:noProof/>
                <w:webHidden/>
              </w:rPr>
              <w:instrText xml:space="preserve"> PAGEREF _Toc115442338 \h </w:instrText>
            </w:r>
            <w:r w:rsidR="00DF5EA9">
              <w:rPr>
                <w:noProof/>
                <w:webHidden/>
              </w:rPr>
            </w:r>
            <w:r w:rsidR="00DF5EA9">
              <w:rPr>
                <w:noProof/>
                <w:webHidden/>
              </w:rPr>
              <w:fldChar w:fldCharType="separate"/>
            </w:r>
            <w:r w:rsidR="00DF5EA9">
              <w:rPr>
                <w:noProof/>
                <w:webHidden/>
              </w:rPr>
              <w:t>1</w:t>
            </w:r>
            <w:r w:rsidR="00DF5EA9">
              <w:rPr>
                <w:noProof/>
                <w:webHidden/>
              </w:rPr>
              <w:fldChar w:fldCharType="end"/>
            </w:r>
          </w:hyperlink>
        </w:p>
        <w:p w14:paraId="20584CE4" w14:textId="43CBA068" w:rsidR="00DF5EA9" w:rsidRDefault="00161057">
          <w:pPr>
            <w:pStyle w:val="TOC2"/>
            <w:tabs>
              <w:tab w:val="left" w:pos="880"/>
              <w:tab w:val="right" w:leader="dot" w:pos="9350"/>
            </w:tabs>
            <w:rPr>
              <w:rFonts w:eastAsiaTheme="minorEastAsia" w:cstheme="minorBidi"/>
              <w:bCs w:val="0"/>
              <w:noProof/>
              <w:lang w:eastAsia="en-US"/>
            </w:rPr>
          </w:pPr>
          <w:hyperlink w:anchor="_Toc115442339" w:history="1">
            <w:r w:rsidR="00DF5EA9" w:rsidRPr="00183E76">
              <w:rPr>
                <w:rStyle w:val="Hyperlink"/>
                <w:noProof/>
              </w:rPr>
              <w:t>3.2</w:t>
            </w:r>
            <w:r w:rsidR="00DF5EA9">
              <w:rPr>
                <w:rFonts w:eastAsiaTheme="minorEastAsia" w:cstheme="minorBidi"/>
                <w:bCs w:val="0"/>
                <w:noProof/>
                <w:lang w:eastAsia="en-US"/>
              </w:rPr>
              <w:tab/>
            </w:r>
            <w:r w:rsidR="00DF5EA9" w:rsidRPr="00183E76">
              <w:rPr>
                <w:rStyle w:val="Hyperlink"/>
                <w:noProof/>
              </w:rPr>
              <w:t>Discussion and Interpretation of Electric Results</w:t>
            </w:r>
            <w:r w:rsidR="00DF5EA9">
              <w:rPr>
                <w:noProof/>
                <w:webHidden/>
              </w:rPr>
              <w:tab/>
            </w:r>
            <w:r w:rsidR="00DF5EA9">
              <w:rPr>
                <w:noProof/>
                <w:webHidden/>
              </w:rPr>
              <w:fldChar w:fldCharType="begin"/>
            </w:r>
            <w:r w:rsidR="00DF5EA9">
              <w:rPr>
                <w:noProof/>
                <w:webHidden/>
              </w:rPr>
              <w:instrText xml:space="preserve"> PAGEREF _Toc115442339 \h </w:instrText>
            </w:r>
            <w:r w:rsidR="00DF5EA9">
              <w:rPr>
                <w:noProof/>
                <w:webHidden/>
              </w:rPr>
            </w:r>
            <w:r w:rsidR="00DF5EA9">
              <w:rPr>
                <w:noProof/>
                <w:webHidden/>
              </w:rPr>
              <w:fldChar w:fldCharType="separate"/>
            </w:r>
            <w:r w:rsidR="00DF5EA9">
              <w:rPr>
                <w:noProof/>
                <w:webHidden/>
              </w:rPr>
              <w:t>4</w:t>
            </w:r>
            <w:r w:rsidR="00DF5EA9">
              <w:rPr>
                <w:noProof/>
                <w:webHidden/>
              </w:rPr>
              <w:fldChar w:fldCharType="end"/>
            </w:r>
          </w:hyperlink>
        </w:p>
        <w:p w14:paraId="768A7DE6" w14:textId="378509A7" w:rsidR="00DF5EA9" w:rsidRDefault="00161057">
          <w:pPr>
            <w:pStyle w:val="TOC1"/>
            <w:tabs>
              <w:tab w:val="left" w:pos="440"/>
              <w:tab w:val="right" w:leader="dot" w:pos="9350"/>
            </w:tabs>
            <w:rPr>
              <w:rFonts w:eastAsiaTheme="minorEastAsia" w:cstheme="minorBidi"/>
              <w:bCs w:val="0"/>
              <w:iCs w:val="0"/>
              <w:noProof/>
              <w:szCs w:val="22"/>
              <w:lang w:eastAsia="en-US"/>
            </w:rPr>
          </w:pPr>
          <w:hyperlink w:anchor="_Toc115442340" w:history="1">
            <w:r w:rsidR="00DF5EA9" w:rsidRPr="00183E76">
              <w:rPr>
                <w:rStyle w:val="Hyperlink"/>
                <w:noProof/>
              </w:rPr>
              <w:t>4</w:t>
            </w:r>
            <w:r w:rsidR="00DF5EA9">
              <w:rPr>
                <w:rFonts w:eastAsiaTheme="minorEastAsia" w:cstheme="minorBidi"/>
                <w:bCs w:val="0"/>
                <w:iCs w:val="0"/>
                <w:noProof/>
                <w:szCs w:val="22"/>
                <w:lang w:eastAsia="en-US"/>
              </w:rPr>
              <w:tab/>
            </w:r>
            <w:r w:rsidR="00DF5EA9" w:rsidRPr="00183E76">
              <w:rPr>
                <w:rStyle w:val="Hyperlink"/>
                <w:noProof/>
              </w:rPr>
              <w:t>Gas Bill and Rate Impacts</w:t>
            </w:r>
            <w:r w:rsidR="00DF5EA9">
              <w:rPr>
                <w:noProof/>
                <w:webHidden/>
              </w:rPr>
              <w:tab/>
            </w:r>
            <w:r w:rsidR="00DF5EA9">
              <w:rPr>
                <w:noProof/>
                <w:webHidden/>
              </w:rPr>
              <w:fldChar w:fldCharType="begin"/>
            </w:r>
            <w:r w:rsidR="00DF5EA9">
              <w:rPr>
                <w:noProof/>
                <w:webHidden/>
              </w:rPr>
              <w:instrText xml:space="preserve"> PAGEREF _Toc115442340 \h </w:instrText>
            </w:r>
            <w:r w:rsidR="00DF5EA9">
              <w:rPr>
                <w:noProof/>
                <w:webHidden/>
              </w:rPr>
            </w:r>
            <w:r w:rsidR="00DF5EA9">
              <w:rPr>
                <w:noProof/>
                <w:webHidden/>
              </w:rPr>
              <w:fldChar w:fldCharType="separate"/>
            </w:r>
            <w:r w:rsidR="00DF5EA9">
              <w:rPr>
                <w:noProof/>
                <w:webHidden/>
              </w:rPr>
              <w:t>8</w:t>
            </w:r>
            <w:r w:rsidR="00DF5EA9">
              <w:rPr>
                <w:noProof/>
                <w:webHidden/>
              </w:rPr>
              <w:fldChar w:fldCharType="end"/>
            </w:r>
          </w:hyperlink>
        </w:p>
        <w:p w14:paraId="3A0CCDCD" w14:textId="6E70EAD0" w:rsidR="00DF5EA9" w:rsidRDefault="00161057">
          <w:pPr>
            <w:pStyle w:val="TOC2"/>
            <w:tabs>
              <w:tab w:val="left" w:pos="880"/>
              <w:tab w:val="right" w:leader="dot" w:pos="9350"/>
            </w:tabs>
            <w:rPr>
              <w:rFonts w:eastAsiaTheme="minorEastAsia" w:cstheme="minorBidi"/>
              <w:bCs w:val="0"/>
              <w:noProof/>
              <w:lang w:eastAsia="en-US"/>
            </w:rPr>
          </w:pPr>
          <w:hyperlink w:anchor="_Toc115442341" w:history="1">
            <w:r w:rsidR="00DF5EA9" w:rsidRPr="00183E76">
              <w:rPr>
                <w:rStyle w:val="Hyperlink"/>
                <w:noProof/>
              </w:rPr>
              <w:t>4.1</w:t>
            </w:r>
            <w:r w:rsidR="00DF5EA9">
              <w:rPr>
                <w:rFonts w:eastAsiaTheme="minorEastAsia" w:cstheme="minorBidi"/>
                <w:bCs w:val="0"/>
                <w:noProof/>
                <w:lang w:eastAsia="en-US"/>
              </w:rPr>
              <w:tab/>
            </w:r>
            <w:r w:rsidR="00DF5EA9" w:rsidRPr="00183E76">
              <w:rPr>
                <w:rStyle w:val="Hyperlink"/>
                <w:noProof/>
              </w:rPr>
              <w:t>Model Background</w:t>
            </w:r>
            <w:r w:rsidR="00DF5EA9">
              <w:rPr>
                <w:noProof/>
                <w:webHidden/>
              </w:rPr>
              <w:tab/>
            </w:r>
            <w:r w:rsidR="00DF5EA9">
              <w:rPr>
                <w:noProof/>
                <w:webHidden/>
              </w:rPr>
              <w:fldChar w:fldCharType="begin"/>
            </w:r>
            <w:r w:rsidR="00DF5EA9">
              <w:rPr>
                <w:noProof/>
                <w:webHidden/>
              </w:rPr>
              <w:instrText xml:space="preserve"> PAGEREF _Toc115442341 \h </w:instrText>
            </w:r>
            <w:r w:rsidR="00DF5EA9">
              <w:rPr>
                <w:noProof/>
                <w:webHidden/>
              </w:rPr>
            </w:r>
            <w:r w:rsidR="00DF5EA9">
              <w:rPr>
                <w:noProof/>
                <w:webHidden/>
              </w:rPr>
              <w:fldChar w:fldCharType="separate"/>
            </w:r>
            <w:r w:rsidR="00DF5EA9">
              <w:rPr>
                <w:noProof/>
                <w:webHidden/>
              </w:rPr>
              <w:t>8</w:t>
            </w:r>
            <w:r w:rsidR="00DF5EA9">
              <w:rPr>
                <w:noProof/>
                <w:webHidden/>
              </w:rPr>
              <w:fldChar w:fldCharType="end"/>
            </w:r>
          </w:hyperlink>
        </w:p>
        <w:p w14:paraId="18400505" w14:textId="577D7A25" w:rsidR="00DF5EA9" w:rsidRDefault="00161057">
          <w:pPr>
            <w:pStyle w:val="TOC1"/>
            <w:tabs>
              <w:tab w:val="left" w:pos="440"/>
              <w:tab w:val="right" w:leader="dot" w:pos="9350"/>
            </w:tabs>
            <w:rPr>
              <w:rFonts w:eastAsiaTheme="minorEastAsia" w:cstheme="minorBidi"/>
              <w:bCs w:val="0"/>
              <w:iCs w:val="0"/>
              <w:noProof/>
              <w:szCs w:val="22"/>
              <w:lang w:eastAsia="en-US"/>
            </w:rPr>
          </w:pPr>
          <w:hyperlink w:anchor="_Toc115442342" w:history="1">
            <w:r w:rsidR="00DF5EA9" w:rsidRPr="00183E76">
              <w:rPr>
                <w:rStyle w:val="Hyperlink"/>
                <w:noProof/>
              </w:rPr>
              <w:t>5</w:t>
            </w:r>
            <w:r w:rsidR="00DF5EA9">
              <w:rPr>
                <w:rFonts w:eastAsiaTheme="minorEastAsia" w:cstheme="minorBidi"/>
                <w:bCs w:val="0"/>
                <w:iCs w:val="0"/>
                <w:noProof/>
                <w:szCs w:val="22"/>
                <w:lang w:eastAsia="en-US"/>
              </w:rPr>
              <w:tab/>
            </w:r>
            <w:r w:rsidR="00DF5EA9" w:rsidRPr="00183E76">
              <w:rPr>
                <w:rStyle w:val="Hyperlink"/>
                <w:noProof/>
              </w:rPr>
              <w:t>Model Inputs</w:t>
            </w:r>
            <w:r w:rsidR="00DF5EA9">
              <w:rPr>
                <w:noProof/>
                <w:webHidden/>
              </w:rPr>
              <w:tab/>
            </w:r>
            <w:r w:rsidR="00DF5EA9">
              <w:rPr>
                <w:noProof/>
                <w:webHidden/>
              </w:rPr>
              <w:fldChar w:fldCharType="begin"/>
            </w:r>
            <w:r w:rsidR="00DF5EA9">
              <w:rPr>
                <w:noProof/>
                <w:webHidden/>
              </w:rPr>
              <w:instrText xml:space="preserve"> PAGEREF _Toc115442342 \h </w:instrText>
            </w:r>
            <w:r w:rsidR="00DF5EA9">
              <w:rPr>
                <w:noProof/>
                <w:webHidden/>
              </w:rPr>
            </w:r>
            <w:r w:rsidR="00DF5EA9">
              <w:rPr>
                <w:noProof/>
                <w:webHidden/>
              </w:rPr>
              <w:fldChar w:fldCharType="separate"/>
            </w:r>
            <w:r w:rsidR="00DF5EA9">
              <w:rPr>
                <w:noProof/>
                <w:webHidden/>
              </w:rPr>
              <w:t>10</w:t>
            </w:r>
            <w:r w:rsidR="00DF5EA9">
              <w:rPr>
                <w:noProof/>
                <w:webHidden/>
              </w:rPr>
              <w:fldChar w:fldCharType="end"/>
            </w:r>
          </w:hyperlink>
        </w:p>
        <w:p w14:paraId="6B0D5898" w14:textId="36BECD8B" w:rsidR="00DF5EA9" w:rsidRDefault="00161057">
          <w:pPr>
            <w:pStyle w:val="TOC2"/>
            <w:tabs>
              <w:tab w:val="left" w:pos="880"/>
              <w:tab w:val="right" w:leader="dot" w:pos="9350"/>
            </w:tabs>
            <w:rPr>
              <w:rFonts w:eastAsiaTheme="minorEastAsia" w:cstheme="minorBidi"/>
              <w:bCs w:val="0"/>
              <w:noProof/>
              <w:lang w:eastAsia="en-US"/>
            </w:rPr>
          </w:pPr>
          <w:hyperlink w:anchor="_Toc115442343" w:history="1">
            <w:r w:rsidR="00DF5EA9" w:rsidRPr="00183E76">
              <w:rPr>
                <w:rStyle w:val="Hyperlink"/>
                <w:noProof/>
              </w:rPr>
              <w:t>5.1</w:t>
            </w:r>
            <w:r w:rsidR="00DF5EA9">
              <w:rPr>
                <w:rFonts w:eastAsiaTheme="minorEastAsia" w:cstheme="minorBidi"/>
                <w:bCs w:val="0"/>
                <w:noProof/>
                <w:lang w:eastAsia="en-US"/>
              </w:rPr>
              <w:tab/>
            </w:r>
            <w:r w:rsidR="00DF5EA9" w:rsidRPr="00183E76">
              <w:rPr>
                <w:rStyle w:val="Hyperlink"/>
                <w:noProof/>
              </w:rPr>
              <w:t>Summary of Results</w:t>
            </w:r>
            <w:r w:rsidR="00DF5EA9">
              <w:rPr>
                <w:noProof/>
                <w:webHidden/>
              </w:rPr>
              <w:tab/>
            </w:r>
            <w:r w:rsidR="00DF5EA9">
              <w:rPr>
                <w:noProof/>
                <w:webHidden/>
              </w:rPr>
              <w:fldChar w:fldCharType="begin"/>
            </w:r>
            <w:r w:rsidR="00DF5EA9">
              <w:rPr>
                <w:noProof/>
                <w:webHidden/>
              </w:rPr>
              <w:instrText xml:space="preserve"> PAGEREF _Toc115442343 \h </w:instrText>
            </w:r>
            <w:r w:rsidR="00DF5EA9">
              <w:rPr>
                <w:noProof/>
                <w:webHidden/>
              </w:rPr>
            </w:r>
            <w:r w:rsidR="00DF5EA9">
              <w:rPr>
                <w:noProof/>
                <w:webHidden/>
              </w:rPr>
              <w:fldChar w:fldCharType="separate"/>
            </w:r>
            <w:r w:rsidR="00DF5EA9">
              <w:rPr>
                <w:noProof/>
                <w:webHidden/>
              </w:rPr>
              <w:t>10</w:t>
            </w:r>
            <w:r w:rsidR="00DF5EA9">
              <w:rPr>
                <w:noProof/>
                <w:webHidden/>
              </w:rPr>
              <w:fldChar w:fldCharType="end"/>
            </w:r>
          </w:hyperlink>
        </w:p>
        <w:p w14:paraId="7A0CBFDE" w14:textId="052815DE" w:rsidR="00DF5EA9" w:rsidRDefault="00161057">
          <w:pPr>
            <w:pStyle w:val="TOC3"/>
            <w:tabs>
              <w:tab w:val="left" w:pos="1320"/>
              <w:tab w:val="right" w:leader="dot" w:pos="9350"/>
            </w:tabs>
            <w:rPr>
              <w:rFonts w:eastAsiaTheme="minorEastAsia" w:cstheme="minorBidi"/>
              <w:noProof/>
              <w:szCs w:val="22"/>
              <w:lang w:eastAsia="en-US"/>
            </w:rPr>
          </w:pPr>
          <w:hyperlink w:anchor="_Toc115442344" w:history="1">
            <w:r w:rsidR="00DF5EA9" w:rsidRPr="00183E76">
              <w:rPr>
                <w:rStyle w:val="Hyperlink"/>
                <w:noProof/>
              </w:rPr>
              <w:t>5.1.1</w:t>
            </w:r>
            <w:r w:rsidR="00DF5EA9">
              <w:rPr>
                <w:rFonts w:eastAsiaTheme="minorEastAsia" w:cstheme="minorBidi"/>
                <w:noProof/>
                <w:szCs w:val="22"/>
                <w:lang w:eastAsia="en-US"/>
              </w:rPr>
              <w:tab/>
            </w:r>
            <w:r w:rsidR="00DF5EA9" w:rsidRPr="00183E76">
              <w:rPr>
                <w:rStyle w:val="Hyperlink"/>
                <w:noProof/>
              </w:rPr>
              <w:t>Residential</w:t>
            </w:r>
            <w:r w:rsidR="00DF5EA9">
              <w:rPr>
                <w:noProof/>
                <w:webHidden/>
              </w:rPr>
              <w:tab/>
            </w:r>
            <w:r w:rsidR="00DF5EA9">
              <w:rPr>
                <w:noProof/>
                <w:webHidden/>
              </w:rPr>
              <w:fldChar w:fldCharType="begin"/>
            </w:r>
            <w:r w:rsidR="00DF5EA9">
              <w:rPr>
                <w:noProof/>
                <w:webHidden/>
              </w:rPr>
              <w:instrText xml:space="preserve"> PAGEREF _Toc115442344 \h </w:instrText>
            </w:r>
            <w:r w:rsidR="00DF5EA9">
              <w:rPr>
                <w:noProof/>
                <w:webHidden/>
              </w:rPr>
            </w:r>
            <w:r w:rsidR="00DF5EA9">
              <w:rPr>
                <w:noProof/>
                <w:webHidden/>
              </w:rPr>
              <w:fldChar w:fldCharType="separate"/>
            </w:r>
            <w:r w:rsidR="00DF5EA9">
              <w:rPr>
                <w:noProof/>
                <w:webHidden/>
              </w:rPr>
              <w:t>13</w:t>
            </w:r>
            <w:r w:rsidR="00DF5EA9">
              <w:rPr>
                <w:noProof/>
                <w:webHidden/>
              </w:rPr>
              <w:fldChar w:fldCharType="end"/>
            </w:r>
          </w:hyperlink>
        </w:p>
        <w:p w14:paraId="5629A334" w14:textId="4C2AF5D5" w:rsidR="00DF5EA9" w:rsidRDefault="00161057">
          <w:pPr>
            <w:pStyle w:val="TOC3"/>
            <w:tabs>
              <w:tab w:val="left" w:pos="1320"/>
              <w:tab w:val="right" w:leader="dot" w:pos="9350"/>
            </w:tabs>
            <w:rPr>
              <w:rFonts w:eastAsiaTheme="minorEastAsia" w:cstheme="minorBidi"/>
              <w:noProof/>
              <w:szCs w:val="22"/>
              <w:lang w:eastAsia="en-US"/>
            </w:rPr>
          </w:pPr>
          <w:hyperlink w:anchor="_Toc115442345" w:history="1">
            <w:r w:rsidR="00DF5EA9" w:rsidRPr="00183E76">
              <w:rPr>
                <w:rStyle w:val="Hyperlink"/>
                <w:noProof/>
              </w:rPr>
              <w:t>5.1.2</w:t>
            </w:r>
            <w:r w:rsidR="00DF5EA9">
              <w:rPr>
                <w:rFonts w:eastAsiaTheme="minorEastAsia" w:cstheme="minorBidi"/>
                <w:noProof/>
                <w:szCs w:val="22"/>
                <w:lang w:eastAsia="en-US"/>
              </w:rPr>
              <w:tab/>
            </w:r>
            <w:r w:rsidR="00DF5EA9" w:rsidRPr="00183E76">
              <w:rPr>
                <w:rStyle w:val="Hyperlink"/>
                <w:noProof/>
              </w:rPr>
              <w:t>Income Eligible</w:t>
            </w:r>
            <w:r w:rsidR="00DF5EA9">
              <w:rPr>
                <w:noProof/>
                <w:webHidden/>
              </w:rPr>
              <w:tab/>
            </w:r>
            <w:r w:rsidR="00DF5EA9">
              <w:rPr>
                <w:noProof/>
                <w:webHidden/>
              </w:rPr>
              <w:fldChar w:fldCharType="begin"/>
            </w:r>
            <w:r w:rsidR="00DF5EA9">
              <w:rPr>
                <w:noProof/>
                <w:webHidden/>
              </w:rPr>
              <w:instrText xml:space="preserve"> PAGEREF _Toc115442345 \h </w:instrText>
            </w:r>
            <w:r w:rsidR="00DF5EA9">
              <w:rPr>
                <w:noProof/>
                <w:webHidden/>
              </w:rPr>
            </w:r>
            <w:r w:rsidR="00DF5EA9">
              <w:rPr>
                <w:noProof/>
                <w:webHidden/>
              </w:rPr>
              <w:fldChar w:fldCharType="separate"/>
            </w:r>
            <w:r w:rsidR="00DF5EA9">
              <w:rPr>
                <w:noProof/>
                <w:webHidden/>
              </w:rPr>
              <w:t>14</w:t>
            </w:r>
            <w:r w:rsidR="00DF5EA9">
              <w:rPr>
                <w:noProof/>
                <w:webHidden/>
              </w:rPr>
              <w:fldChar w:fldCharType="end"/>
            </w:r>
          </w:hyperlink>
        </w:p>
        <w:p w14:paraId="1666EFF7" w14:textId="7160F478" w:rsidR="00DF5EA9" w:rsidRDefault="00161057">
          <w:pPr>
            <w:pStyle w:val="TOC3"/>
            <w:tabs>
              <w:tab w:val="left" w:pos="1320"/>
              <w:tab w:val="right" w:leader="dot" w:pos="9350"/>
            </w:tabs>
            <w:rPr>
              <w:rFonts w:eastAsiaTheme="minorEastAsia" w:cstheme="minorBidi"/>
              <w:noProof/>
              <w:szCs w:val="22"/>
              <w:lang w:eastAsia="en-US"/>
            </w:rPr>
          </w:pPr>
          <w:hyperlink w:anchor="_Toc115442346" w:history="1">
            <w:r w:rsidR="00DF5EA9" w:rsidRPr="00183E76">
              <w:rPr>
                <w:rStyle w:val="Hyperlink"/>
                <w:noProof/>
              </w:rPr>
              <w:t>5.1.3</w:t>
            </w:r>
            <w:r w:rsidR="00DF5EA9">
              <w:rPr>
                <w:rFonts w:eastAsiaTheme="minorEastAsia" w:cstheme="minorBidi"/>
                <w:noProof/>
                <w:szCs w:val="22"/>
                <w:lang w:eastAsia="en-US"/>
              </w:rPr>
              <w:tab/>
            </w:r>
            <w:r w:rsidR="00DF5EA9" w:rsidRPr="00183E76">
              <w:rPr>
                <w:rStyle w:val="Hyperlink"/>
                <w:noProof/>
              </w:rPr>
              <w:t>Small Commercial and Industrial</w:t>
            </w:r>
            <w:r w:rsidR="00DF5EA9">
              <w:rPr>
                <w:noProof/>
                <w:webHidden/>
              </w:rPr>
              <w:tab/>
            </w:r>
            <w:r w:rsidR="00DF5EA9">
              <w:rPr>
                <w:noProof/>
                <w:webHidden/>
              </w:rPr>
              <w:fldChar w:fldCharType="begin"/>
            </w:r>
            <w:r w:rsidR="00DF5EA9">
              <w:rPr>
                <w:noProof/>
                <w:webHidden/>
              </w:rPr>
              <w:instrText xml:space="preserve"> PAGEREF _Toc115442346 \h </w:instrText>
            </w:r>
            <w:r w:rsidR="00DF5EA9">
              <w:rPr>
                <w:noProof/>
                <w:webHidden/>
              </w:rPr>
            </w:r>
            <w:r w:rsidR="00DF5EA9">
              <w:rPr>
                <w:noProof/>
                <w:webHidden/>
              </w:rPr>
              <w:fldChar w:fldCharType="separate"/>
            </w:r>
            <w:r w:rsidR="00DF5EA9">
              <w:rPr>
                <w:noProof/>
                <w:webHidden/>
              </w:rPr>
              <w:t>15</w:t>
            </w:r>
            <w:r w:rsidR="00DF5EA9">
              <w:rPr>
                <w:noProof/>
                <w:webHidden/>
              </w:rPr>
              <w:fldChar w:fldCharType="end"/>
            </w:r>
          </w:hyperlink>
        </w:p>
        <w:p w14:paraId="061083B1" w14:textId="6ACF0F08" w:rsidR="00DF5EA9" w:rsidRDefault="00161057">
          <w:pPr>
            <w:pStyle w:val="TOC3"/>
            <w:tabs>
              <w:tab w:val="left" w:pos="1320"/>
              <w:tab w:val="right" w:leader="dot" w:pos="9350"/>
            </w:tabs>
            <w:rPr>
              <w:rFonts w:eastAsiaTheme="minorEastAsia" w:cstheme="minorBidi"/>
              <w:noProof/>
              <w:szCs w:val="22"/>
              <w:lang w:eastAsia="en-US"/>
            </w:rPr>
          </w:pPr>
          <w:hyperlink w:anchor="_Toc115442347" w:history="1">
            <w:r w:rsidR="00DF5EA9" w:rsidRPr="00183E76">
              <w:rPr>
                <w:rStyle w:val="Hyperlink"/>
                <w:noProof/>
              </w:rPr>
              <w:t>5.1.4</w:t>
            </w:r>
            <w:r w:rsidR="00DF5EA9">
              <w:rPr>
                <w:rFonts w:eastAsiaTheme="minorEastAsia" w:cstheme="minorBidi"/>
                <w:noProof/>
                <w:szCs w:val="22"/>
                <w:lang w:eastAsia="en-US"/>
              </w:rPr>
              <w:tab/>
            </w:r>
            <w:r w:rsidR="00DF5EA9" w:rsidRPr="00183E76">
              <w:rPr>
                <w:rStyle w:val="Hyperlink"/>
                <w:noProof/>
              </w:rPr>
              <w:t>Large Commercial and Industrial</w:t>
            </w:r>
            <w:r w:rsidR="00DF5EA9">
              <w:rPr>
                <w:noProof/>
                <w:webHidden/>
              </w:rPr>
              <w:tab/>
            </w:r>
            <w:r w:rsidR="00DF5EA9">
              <w:rPr>
                <w:noProof/>
                <w:webHidden/>
              </w:rPr>
              <w:fldChar w:fldCharType="begin"/>
            </w:r>
            <w:r w:rsidR="00DF5EA9">
              <w:rPr>
                <w:noProof/>
                <w:webHidden/>
              </w:rPr>
              <w:instrText xml:space="preserve"> PAGEREF _Toc115442347 \h </w:instrText>
            </w:r>
            <w:r w:rsidR="00DF5EA9">
              <w:rPr>
                <w:noProof/>
                <w:webHidden/>
              </w:rPr>
            </w:r>
            <w:r w:rsidR="00DF5EA9">
              <w:rPr>
                <w:noProof/>
                <w:webHidden/>
              </w:rPr>
              <w:fldChar w:fldCharType="separate"/>
            </w:r>
            <w:r w:rsidR="00DF5EA9">
              <w:rPr>
                <w:noProof/>
                <w:webHidden/>
              </w:rPr>
              <w:t>15</w:t>
            </w:r>
            <w:r w:rsidR="00DF5EA9">
              <w:rPr>
                <w:noProof/>
                <w:webHidden/>
              </w:rPr>
              <w:fldChar w:fldCharType="end"/>
            </w:r>
          </w:hyperlink>
        </w:p>
        <w:p w14:paraId="72BF2FD4" w14:textId="4298D02D" w:rsidR="003917BE" w:rsidRDefault="003917BE">
          <w:r>
            <w:rPr>
              <w:rFonts w:asciiTheme="minorHAnsi" w:hAnsiTheme="minorHAnsi" w:cstheme="minorHAnsi"/>
              <w:iCs/>
              <w:szCs w:val="24"/>
            </w:rPr>
            <w:fldChar w:fldCharType="end"/>
          </w:r>
        </w:p>
      </w:sdtContent>
    </w:sdt>
    <w:p w14:paraId="7101A871" w14:textId="5DE76039" w:rsidR="003917BE" w:rsidRPr="003917BE" w:rsidRDefault="003917BE" w:rsidP="003917BE">
      <w:pPr>
        <w:sectPr w:rsidR="003917BE" w:rsidRPr="003917BE" w:rsidSect="00E822F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p>
    <w:p w14:paraId="0A9C7A90" w14:textId="220D3D9E" w:rsidR="00247452" w:rsidRPr="003917BE" w:rsidRDefault="00247452" w:rsidP="00BF26C3">
      <w:pPr>
        <w:pStyle w:val="Heading1"/>
      </w:pPr>
      <w:bookmarkStart w:id="0" w:name="_Toc115442335"/>
      <w:r w:rsidRPr="00BF26C3">
        <w:t>Summary</w:t>
      </w:r>
      <w:bookmarkEnd w:id="0"/>
    </w:p>
    <w:p w14:paraId="06A257EF" w14:textId="106D39D6" w:rsidR="00FC3A60" w:rsidRPr="00B673D0" w:rsidRDefault="00782A19" w:rsidP="004C53D8">
      <w:pPr>
        <w:autoSpaceDE w:val="0"/>
        <w:autoSpaceDN w:val="0"/>
        <w:adjustRightInd w:val="0"/>
        <w:jc w:val="both"/>
        <w:rPr>
          <w:rFonts w:cs="Calibri"/>
        </w:rPr>
      </w:pPr>
      <w:r>
        <w:rPr>
          <w:rFonts w:cs="Calibri"/>
        </w:rPr>
        <w:t>Rhode Island Energy</w:t>
      </w:r>
      <w:r w:rsidR="00247452" w:rsidRPr="00B673D0">
        <w:rPr>
          <w:rFonts w:cs="Calibri"/>
        </w:rPr>
        <w:t xml:space="preserve"> has performed </w:t>
      </w:r>
      <w:r w:rsidR="006A5823" w:rsidRPr="00B673D0">
        <w:rPr>
          <w:rFonts w:cs="Calibri"/>
        </w:rPr>
        <w:t>a</w:t>
      </w:r>
      <w:r w:rsidR="00247452" w:rsidRPr="00B673D0">
        <w:rPr>
          <w:rFonts w:cs="Calibri"/>
        </w:rPr>
        <w:t>nalys</w:t>
      </w:r>
      <w:r w:rsidR="006A5823" w:rsidRPr="00B673D0">
        <w:rPr>
          <w:rFonts w:cs="Calibri"/>
        </w:rPr>
        <w:t>e</w:t>
      </w:r>
      <w:r w:rsidR="00247452" w:rsidRPr="00B673D0">
        <w:rPr>
          <w:rFonts w:cs="Calibri"/>
        </w:rPr>
        <w:t>s of the electric and gas bill impacts resulting from the proposed</w:t>
      </w:r>
      <w:r w:rsidR="00226B68">
        <w:rPr>
          <w:rFonts w:cs="Calibri"/>
        </w:rPr>
        <w:t xml:space="preserve"> </w:t>
      </w:r>
      <w:r w:rsidR="00E0071E" w:rsidRPr="00B673D0">
        <w:rPr>
          <w:rFonts w:cs="Calibri"/>
        </w:rPr>
        <w:t>202</w:t>
      </w:r>
      <w:r w:rsidR="00A6650D">
        <w:rPr>
          <w:rFonts w:cs="Calibri"/>
        </w:rPr>
        <w:t>4</w:t>
      </w:r>
      <w:r w:rsidR="00C95333" w:rsidRPr="00B673D0">
        <w:rPr>
          <w:rFonts w:cs="Calibri"/>
        </w:rPr>
        <w:t xml:space="preserve"> </w:t>
      </w:r>
      <w:r w:rsidR="00247452" w:rsidRPr="00B673D0">
        <w:rPr>
          <w:rFonts w:cs="Calibri"/>
        </w:rPr>
        <w:t>Energy Efficiency Program Plan</w:t>
      </w:r>
      <w:r w:rsidR="000C4076" w:rsidRPr="00B673D0">
        <w:rPr>
          <w:rFonts w:cs="Calibri"/>
        </w:rPr>
        <w:t xml:space="preserve"> pursuant to the </w:t>
      </w:r>
      <w:r w:rsidR="007C33A6" w:rsidRPr="00B673D0">
        <w:rPr>
          <w:rFonts w:cs="Calibri"/>
        </w:rPr>
        <w:t>updated Least Cost Procurement Standards</w:t>
      </w:r>
      <w:r w:rsidR="00866E7D" w:rsidRPr="00B673D0">
        <w:rPr>
          <w:rFonts w:cs="Calibri"/>
        </w:rPr>
        <w:t xml:space="preserve"> approved by the RI PUC in Docket 5015</w:t>
      </w:r>
      <w:r w:rsidR="00247452" w:rsidRPr="00B673D0">
        <w:rPr>
          <w:rFonts w:cs="Calibri"/>
        </w:rPr>
        <w:t xml:space="preserve">. Bill impacts are distinct from rate impacts because they model </w:t>
      </w:r>
      <w:r w:rsidR="002A1468" w:rsidRPr="00B673D0">
        <w:rPr>
          <w:rFonts w:cs="Calibri"/>
        </w:rPr>
        <w:t>the</w:t>
      </w:r>
      <w:r w:rsidR="00247452" w:rsidRPr="00B673D0">
        <w:rPr>
          <w:rFonts w:cs="Calibri"/>
        </w:rPr>
        <w:t xml:space="preserve"> effects of efficiency programs on </w:t>
      </w:r>
      <w:r w:rsidR="00976062" w:rsidRPr="00B673D0">
        <w:rPr>
          <w:rFonts w:cs="Calibri"/>
        </w:rPr>
        <w:t xml:space="preserve">annual </w:t>
      </w:r>
      <w:r w:rsidR="00247452" w:rsidRPr="00B673D0">
        <w:rPr>
          <w:rFonts w:cs="Calibri"/>
        </w:rPr>
        <w:t xml:space="preserve">customer bills by aggregating rate and consumption changes. In the electric </w:t>
      </w:r>
      <w:r w:rsidR="00056D8A">
        <w:rPr>
          <w:rFonts w:cs="Calibri"/>
        </w:rPr>
        <w:t xml:space="preserve">and gas </w:t>
      </w:r>
      <w:r w:rsidR="00247452" w:rsidRPr="00B673D0">
        <w:rPr>
          <w:rFonts w:cs="Calibri"/>
        </w:rPr>
        <w:t xml:space="preserve">bill impact analysis, rate </w:t>
      </w:r>
      <w:r w:rsidR="002762CE" w:rsidRPr="00B673D0">
        <w:rPr>
          <w:rFonts w:cs="Calibri"/>
        </w:rPr>
        <w:t xml:space="preserve">changes </w:t>
      </w:r>
      <w:r w:rsidR="00247452" w:rsidRPr="00B673D0">
        <w:rPr>
          <w:rFonts w:cs="Calibri"/>
        </w:rPr>
        <w:t xml:space="preserve">are modeled by mapping </w:t>
      </w:r>
      <w:r w:rsidR="209AD806" w:rsidRPr="153AB0D6">
        <w:rPr>
          <w:rFonts w:cs="Calibri"/>
        </w:rPr>
        <w:t>energy efficiency (</w:t>
      </w:r>
      <w:r w:rsidR="00247452" w:rsidRPr="153AB0D6">
        <w:rPr>
          <w:rFonts w:cs="Calibri"/>
        </w:rPr>
        <w:t>EE</w:t>
      </w:r>
      <w:r w:rsidR="75341EDE" w:rsidRPr="153AB0D6">
        <w:rPr>
          <w:rFonts w:cs="Calibri"/>
        </w:rPr>
        <w:t>)</w:t>
      </w:r>
      <w:r w:rsidR="00247452" w:rsidRPr="153AB0D6">
        <w:rPr>
          <w:rFonts w:cs="Calibri"/>
        </w:rPr>
        <w:t xml:space="preserve"> </w:t>
      </w:r>
      <w:r w:rsidR="00247452" w:rsidRPr="00B673D0">
        <w:rPr>
          <w:rFonts w:cs="Calibri"/>
        </w:rPr>
        <w:t xml:space="preserve">programs to </w:t>
      </w:r>
      <w:r w:rsidR="00141DE2">
        <w:rPr>
          <w:rFonts w:cs="Calibri"/>
        </w:rPr>
        <w:t xml:space="preserve">groupings of customers approximating </w:t>
      </w:r>
      <w:r w:rsidR="00247452" w:rsidRPr="00B673D0">
        <w:rPr>
          <w:rFonts w:cs="Calibri"/>
        </w:rPr>
        <w:t xml:space="preserve">rate classes and estimating changes in both </w:t>
      </w:r>
      <w:r w:rsidR="00754BFE" w:rsidRPr="00B673D0">
        <w:rPr>
          <w:rFonts w:cs="Calibri"/>
        </w:rPr>
        <w:t xml:space="preserve">delivery </w:t>
      </w:r>
      <w:r w:rsidR="00247452" w:rsidRPr="00B673D0">
        <w:rPr>
          <w:rFonts w:cs="Calibri"/>
        </w:rPr>
        <w:t xml:space="preserve">service rates and supply costs due to </w:t>
      </w:r>
      <w:r w:rsidR="00A1640C" w:rsidRPr="00B673D0">
        <w:rPr>
          <w:rFonts w:cs="Calibri"/>
        </w:rPr>
        <w:t xml:space="preserve">the </w:t>
      </w:r>
      <w:r w:rsidR="00923F04">
        <w:rPr>
          <w:rFonts w:cs="Calibri"/>
        </w:rPr>
        <w:t xml:space="preserve">proposed </w:t>
      </w:r>
      <w:r w:rsidR="00472C3B" w:rsidRPr="153AB0D6">
        <w:rPr>
          <w:rFonts w:cs="Calibri"/>
        </w:rPr>
        <w:t>EE</w:t>
      </w:r>
      <w:r w:rsidR="3FD84271" w:rsidRPr="153AB0D6">
        <w:rPr>
          <w:rFonts w:cs="Calibri"/>
        </w:rPr>
        <w:t xml:space="preserve"> </w:t>
      </w:r>
      <w:r w:rsidR="00472C3B" w:rsidRPr="00B673D0">
        <w:rPr>
          <w:rFonts w:cs="Calibri"/>
        </w:rPr>
        <w:t>program charge</w:t>
      </w:r>
      <w:r w:rsidR="00247452" w:rsidRPr="00B673D0">
        <w:rPr>
          <w:rFonts w:cs="Calibri"/>
        </w:rPr>
        <w:t>. Consumption impacts are predicted from proposed participation and energy efficiency savings.</w:t>
      </w:r>
      <w:r w:rsidR="00B56220" w:rsidRPr="00B673D0">
        <w:rPr>
          <w:rFonts w:cs="Calibri"/>
        </w:rPr>
        <w:t xml:space="preserve"> </w:t>
      </w:r>
      <w:r w:rsidR="007E6340" w:rsidRPr="00B673D0">
        <w:rPr>
          <w:rFonts w:cs="Calibri"/>
        </w:rPr>
        <w:t>In</w:t>
      </w:r>
      <w:r w:rsidR="00F10BF8" w:rsidRPr="00B673D0">
        <w:rPr>
          <w:rFonts w:cs="Calibri"/>
        </w:rPr>
        <w:t xml:space="preserve"> </w:t>
      </w:r>
      <w:r w:rsidR="004E09A9">
        <w:rPr>
          <w:rFonts w:cs="Calibri"/>
        </w:rPr>
        <w:t>both</w:t>
      </w:r>
      <w:r w:rsidR="00F10BF8" w:rsidRPr="00B673D0">
        <w:rPr>
          <w:rFonts w:cs="Calibri"/>
        </w:rPr>
        <w:t xml:space="preserve"> model</w:t>
      </w:r>
      <w:r w:rsidR="004E09A9">
        <w:rPr>
          <w:rFonts w:cs="Calibri"/>
        </w:rPr>
        <w:t>s</w:t>
      </w:r>
      <w:r w:rsidR="00247452" w:rsidRPr="00B673D0">
        <w:rPr>
          <w:rFonts w:cs="Calibri"/>
        </w:rPr>
        <w:t xml:space="preserve">, other effects of energy efficiency beyond direct energy savings such as price suppression </w:t>
      </w:r>
      <w:r w:rsidR="003D166F">
        <w:rPr>
          <w:rFonts w:cs="Calibri"/>
        </w:rPr>
        <w:t xml:space="preserve">(both) </w:t>
      </w:r>
      <w:r w:rsidR="00247452" w:rsidRPr="00B673D0">
        <w:rPr>
          <w:rFonts w:cs="Calibri"/>
        </w:rPr>
        <w:t>and avoided infrastructure investments</w:t>
      </w:r>
      <w:r w:rsidR="003D166F">
        <w:rPr>
          <w:rFonts w:cs="Calibri"/>
        </w:rPr>
        <w:t xml:space="preserve"> (electric)</w:t>
      </w:r>
      <w:r w:rsidR="00247452" w:rsidRPr="00B673D0">
        <w:rPr>
          <w:rFonts w:cs="Calibri"/>
        </w:rPr>
        <w:t xml:space="preserve"> are also included. </w:t>
      </w:r>
    </w:p>
    <w:p w14:paraId="41A0FA03" w14:textId="179013A5" w:rsidR="00247452" w:rsidRPr="004C53D8" w:rsidRDefault="00B6231E" w:rsidP="00BF26C3">
      <w:pPr>
        <w:pStyle w:val="Heading1"/>
      </w:pPr>
      <w:bookmarkStart w:id="1" w:name="_Toc115442336"/>
      <w:r w:rsidRPr="004C53D8">
        <w:t>Key Findings</w:t>
      </w:r>
      <w:bookmarkEnd w:id="1"/>
    </w:p>
    <w:p w14:paraId="7F58F763" w14:textId="49F1CEDB" w:rsidR="005A0BAD" w:rsidRPr="00B673D0" w:rsidRDefault="00576F8B" w:rsidP="004C53D8">
      <w:pPr>
        <w:autoSpaceDE w:val="0"/>
        <w:autoSpaceDN w:val="0"/>
        <w:adjustRightInd w:val="0"/>
        <w:jc w:val="both"/>
        <w:rPr>
          <w:rFonts w:cs="Calibri"/>
        </w:rPr>
      </w:pPr>
      <w:r w:rsidRPr="00B673D0">
        <w:t>In th</w:t>
      </w:r>
      <w:r w:rsidR="006639A0">
        <w:t>is</w:t>
      </w:r>
      <w:r w:rsidRPr="00B673D0">
        <w:t xml:space="preserve"> </w:t>
      </w:r>
      <w:r w:rsidR="00E0071E" w:rsidRPr="00B673D0">
        <w:t>202</w:t>
      </w:r>
      <w:r w:rsidR="000E24EC">
        <w:t>4</w:t>
      </w:r>
      <w:r w:rsidRPr="00B673D0">
        <w:t xml:space="preserve"> analysis, </w:t>
      </w:r>
      <w:r w:rsidR="00782A19">
        <w:t>Rhode Island Energy</w:t>
      </w:r>
      <w:r w:rsidRPr="00B673D0">
        <w:t xml:space="preserve"> used the </w:t>
      </w:r>
      <w:r w:rsidR="00CD7EC2">
        <w:t>same methods as those employed in 202</w:t>
      </w:r>
      <w:r w:rsidR="000E24EC">
        <w:t>3</w:t>
      </w:r>
      <w:r w:rsidR="008600E8">
        <w:t xml:space="preserve"> for the natural gas </w:t>
      </w:r>
      <w:r w:rsidR="00C40FF8">
        <w:t xml:space="preserve">and electric </w:t>
      </w:r>
      <w:r w:rsidR="008600E8">
        <w:t>analysis</w:t>
      </w:r>
      <w:r w:rsidR="00CD7EC2">
        <w:t>.</w:t>
      </w:r>
      <w:r w:rsidR="007A5B3A">
        <w:t xml:space="preserve"> </w:t>
      </w:r>
      <w:r w:rsidR="005A0BAD" w:rsidRPr="00B673D0">
        <w:rPr>
          <w:rFonts w:cs="Calibri"/>
        </w:rPr>
        <w:t xml:space="preserve">The key </w:t>
      </w:r>
      <w:r w:rsidR="00493100">
        <w:rPr>
          <w:rFonts w:cs="Calibri"/>
        </w:rPr>
        <w:t>takeaways</w:t>
      </w:r>
      <w:r w:rsidR="00493100" w:rsidRPr="00B673D0">
        <w:rPr>
          <w:rFonts w:cs="Calibri"/>
        </w:rPr>
        <w:t xml:space="preserve"> </w:t>
      </w:r>
      <w:r w:rsidR="005A0BAD" w:rsidRPr="00B673D0">
        <w:rPr>
          <w:rFonts w:cs="Calibri"/>
        </w:rPr>
        <w:t>of the bill impact analys</w:t>
      </w:r>
      <w:r w:rsidR="00C74E09" w:rsidRPr="00B673D0">
        <w:rPr>
          <w:rFonts w:cs="Calibri"/>
        </w:rPr>
        <w:t>e</w:t>
      </w:r>
      <w:r w:rsidR="005A0BAD" w:rsidRPr="00B673D0">
        <w:rPr>
          <w:rFonts w:cs="Calibri"/>
        </w:rPr>
        <w:t xml:space="preserve">s are: </w:t>
      </w:r>
    </w:p>
    <w:p w14:paraId="0A46754D" w14:textId="31208313" w:rsidR="005A0BAD" w:rsidRPr="00B673D0" w:rsidRDefault="005A0BAD" w:rsidP="004C53D8">
      <w:pPr>
        <w:pStyle w:val="ListParagraph"/>
        <w:numPr>
          <w:ilvl w:val="0"/>
          <w:numId w:val="6"/>
        </w:numPr>
        <w:autoSpaceDE w:val="0"/>
        <w:autoSpaceDN w:val="0"/>
        <w:adjustRightInd w:val="0"/>
        <w:jc w:val="both"/>
        <w:rPr>
          <w:rFonts w:cs="Calibri"/>
        </w:rPr>
      </w:pPr>
      <w:r w:rsidRPr="00B673D0">
        <w:rPr>
          <w:rFonts w:cs="Calibri"/>
        </w:rPr>
        <w:t xml:space="preserve">Most customers are participating in </w:t>
      </w:r>
      <w:r w:rsidR="000D6BB8">
        <w:rPr>
          <w:rFonts w:cs="Calibri"/>
        </w:rPr>
        <w:t>at least one</w:t>
      </w:r>
      <w:r w:rsidR="003C68BC">
        <w:rPr>
          <w:rFonts w:cs="Calibri"/>
        </w:rPr>
        <w:t xml:space="preserve"> </w:t>
      </w:r>
      <w:r w:rsidRPr="00B673D0">
        <w:rPr>
          <w:rFonts w:cs="Calibri"/>
        </w:rPr>
        <w:t>EE program</w:t>
      </w:r>
      <w:r w:rsidR="00C40FF8">
        <w:rPr>
          <w:rFonts w:cs="Calibri"/>
        </w:rPr>
        <w:t>. T</w:t>
      </w:r>
      <w:r w:rsidR="00B852CB">
        <w:rPr>
          <w:rFonts w:cs="Calibri"/>
        </w:rPr>
        <w:t xml:space="preserve">his is </w:t>
      </w:r>
      <w:r w:rsidR="00B20B85">
        <w:rPr>
          <w:rFonts w:cs="Calibri"/>
        </w:rPr>
        <w:t xml:space="preserve">partially attributable to the residential </w:t>
      </w:r>
      <w:r w:rsidR="00761EFC">
        <w:rPr>
          <w:rFonts w:cs="Calibri"/>
        </w:rPr>
        <w:t xml:space="preserve">Home Energy Reports </w:t>
      </w:r>
      <w:r w:rsidR="00B20B85">
        <w:rPr>
          <w:rFonts w:cs="Calibri"/>
        </w:rPr>
        <w:t xml:space="preserve">program </w:t>
      </w:r>
      <w:r w:rsidR="00F77AC3">
        <w:rPr>
          <w:rFonts w:cs="Calibri"/>
        </w:rPr>
        <w:t>reaching</w:t>
      </w:r>
      <w:r w:rsidR="00B20B85">
        <w:rPr>
          <w:rFonts w:cs="Calibri"/>
        </w:rPr>
        <w:t xml:space="preserve"> nearly all gas and electric residential customers</w:t>
      </w:r>
      <w:r w:rsidRPr="00B673D0">
        <w:rPr>
          <w:rFonts w:cs="Calibri"/>
        </w:rPr>
        <w:t>.</w:t>
      </w:r>
    </w:p>
    <w:p w14:paraId="506AF0C8" w14:textId="46C37459" w:rsidR="00CE4CFC" w:rsidRPr="00CE4CFC" w:rsidRDefault="000E53F8" w:rsidP="00246FAE">
      <w:pPr>
        <w:pStyle w:val="ListParagraph"/>
        <w:numPr>
          <w:ilvl w:val="0"/>
          <w:numId w:val="6"/>
        </w:numPr>
        <w:autoSpaceDE w:val="0"/>
        <w:autoSpaceDN w:val="0"/>
        <w:adjustRightInd w:val="0"/>
        <w:jc w:val="both"/>
        <w:rPr>
          <w:rFonts w:asciiTheme="majorHAnsi" w:eastAsiaTheme="majorEastAsia" w:hAnsiTheme="majorHAnsi" w:cstheme="majorBidi"/>
          <w:color w:val="365F91" w:themeColor="accent1" w:themeShade="BF"/>
        </w:rPr>
      </w:pPr>
      <w:r w:rsidRPr="00CE4CFC">
        <w:rPr>
          <w:rFonts w:cs="Calibri"/>
        </w:rPr>
        <w:t>In the electric portfolio, high participation means that over the lifetimes of the programs proposed for 202</w:t>
      </w:r>
      <w:r w:rsidR="00D746E2">
        <w:rPr>
          <w:rFonts w:cs="Calibri"/>
        </w:rPr>
        <w:t>4</w:t>
      </w:r>
      <w:r w:rsidRPr="00CE4CFC">
        <w:rPr>
          <w:rFonts w:cs="Calibri"/>
        </w:rPr>
        <w:t xml:space="preserve">, the average Rhode Island customer’s (participants and non-participants combined) bill will be </w:t>
      </w:r>
      <w:r w:rsidR="00A20636">
        <w:rPr>
          <w:rFonts w:cs="Calibri"/>
        </w:rPr>
        <w:t xml:space="preserve">slightly </w:t>
      </w:r>
      <w:r w:rsidR="00C52648">
        <w:rPr>
          <w:rFonts w:cs="Calibri"/>
        </w:rPr>
        <w:t>lower</w:t>
      </w:r>
      <w:r w:rsidR="00C52648" w:rsidRPr="00CE4CFC">
        <w:rPr>
          <w:rFonts w:cs="Calibri"/>
        </w:rPr>
        <w:t xml:space="preserve"> </w:t>
      </w:r>
      <w:r w:rsidRPr="00CE4CFC">
        <w:rPr>
          <w:rFonts w:cs="Calibri"/>
        </w:rPr>
        <w:t>than or equal to a scenario with no programs</w:t>
      </w:r>
      <w:r w:rsidR="001D7C73">
        <w:rPr>
          <w:rFonts w:cs="Calibri"/>
        </w:rPr>
        <w:t>,</w:t>
      </w:r>
      <w:r w:rsidR="00C870CC">
        <w:rPr>
          <w:rFonts w:cs="Calibri"/>
        </w:rPr>
        <w:t xml:space="preserve"> </w:t>
      </w:r>
      <w:r w:rsidR="008A6CD9">
        <w:rPr>
          <w:rFonts w:cs="Calibri"/>
        </w:rPr>
        <w:t xml:space="preserve">ranging from </w:t>
      </w:r>
      <w:r w:rsidR="00522572">
        <w:rPr>
          <w:rFonts w:cs="Calibri"/>
        </w:rPr>
        <w:t>a decrease of 0.</w:t>
      </w:r>
      <w:r w:rsidR="00DE7D53">
        <w:rPr>
          <w:rFonts w:cs="Calibri"/>
        </w:rPr>
        <w:t>14</w:t>
      </w:r>
      <w:r w:rsidR="00522572">
        <w:rPr>
          <w:rFonts w:cs="Calibri"/>
        </w:rPr>
        <w:t xml:space="preserve">% to </w:t>
      </w:r>
      <w:r w:rsidR="00810DDE">
        <w:rPr>
          <w:rFonts w:cs="Calibri"/>
        </w:rPr>
        <w:t xml:space="preserve">a decrease of </w:t>
      </w:r>
      <w:r w:rsidR="00E818F0">
        <w:rPr>
          <w:rFonts w:cs="Calibri"/>
        </w:rPr>
        <w:t>1.12</w:t>
      </w:r>
      <w:r w:rsidR="00F31F2E">
        <w:rPr>
          <w:rFonts w:cs="Calibri"/>
        </w:rPr>
        <w:t>%</w:t>
      </w:r>
      <w:r w:rsidR="00810DDE">
        <w:rPr>
          <w:rFonts w:cs="Calibri"/>
        </w:rPr>
        <w:t>, depending on the sector and scenario</w:t>
      </w:r>
      <w:r w:rsidRPr="00CE4CFC">
        <w:rPr>
          <w:rFonts w:cs="Calibri"/>
        </w:rPr>
        <w:t>. Overall, rates may increase, but energy savings from participation in electric EE programs results in bill savings that offset the costs of the EE program charge and revenue recovery.</w:t>
      </w:r>
    </w:p>
    <w:p w14:paraId="082F4F49" w14:textId="1F56339A" w:rsidR="00F22870" w:rsidRPr="00CE4CFC" w:rsidRDefault="00FD49DA" w:rsidP="00246FAE">
      <w:pPr>
        <w:pStyle w:val="ListParagraph"/>
        <w:numPr>
          <w:ilvl w:val="0"/>
          <w:numId w:val="6"/>
        </w:numPr>
        <w:autoSpaceDE w:val="0"/>
        <w:autoSpaceDN w:val="0"/>
        <w:adjustRightInd w:val="0"/>
        <w:jc w:val="both"/>
        <w:rPr>
          <w:rFonts w:asciiTheme="majorHAnsi" w:eastAsiaTheme="majorEastAsia" w:hAnsiTheme="majorHAnsi" w:cstheme="majorBidi"/>
          <w:color w:val="365F91" w:themeColor="accent1" w:themeShade="BF"/>
        </w:rPr>
      </w:pPr>
      <w:r w:rsidRPr="00CE4CFC">
        <w:rPr>
          <w:rFonts w:cs="Calibri"/>
        </w:rPr>
        <w:t xml:space="preserve">In the gas portfolio, </w:t>
      </w:r>
      <w:r w:rsidR="00A628E6">
        <w:rPr>
          <w:rFonts w:cs="Calibri"/>
        </w:rPr>
        <w:t>p</w:t>
      </w:r>
      <w:r w:rsidR="00A628E6" w:rsidRPr="00CE4CFC">
        <w:rPr>
          <w:rFonts w:cs="Calibri"/>
        </w:rPr>
        <w:t>articipants in all programs and customer segment groupings see reductions in their long-term bills due to their 202</w:t>
      </w:r>
      <w:r w:rsidR="00CA2B12">
        <w:rPr>
          <w:rFonts w:cs="Calibri"/>
        </w:rPr>
        <w:t>4</w:t>
      </w:r>
      <w:r w:rsidR="00A628E6" w:rsidRPr="00CE4CFC">
        <w:rPr>
          <w:rFonts w:cs="Calibri"/>
        </w:rPr>
        <w:t xml:space="preserve"> participation</w:t>
      </w:r>
      <w:r w:rsidR="00CB0A2C">
        <w:rPr>
          <w:rFonts w:cs="Calibri"/>
        </w:rPr>
        <w:t xml:space="preserve">, ranging from </w:t>
      </w:r>
      <w:r w:rsidR="00FB766D">
        <w:rPr>
          <w:rFonts w:cs="Calibri"/>
        </w:rPr>
        <w:t>0.0</w:t>
      </w:r>
      <w:r w:rsidR="005B1F72">
        <w:rPr>
          <w:rFonts w:cs="Calibri"/>
        </w:rPr>
        <w:t>2</w:t>
      </w:r>
      <w:r w:rsidR="00FB766D">
        <w:rPr>
          <w:rFonts w:cs="Calibri"/>
        </w:rPr>
        <w:t>% to 2</w:t>
      </w:r>
      <w:r w:rsidR="00C73EA9">
        <w:rPr>
          <w:rFonts w:cs="Calibri"/>
        </w:rPr>
        <w:t>1</w:t>
      </w:r>
      <w:r w:rsidR="00FB766D">
        <w:rPr>
          <w:rFonts w:cs="Calibri"/>
        </w:rPr>
        <w:t>.</w:t>
      </w:r>
      <w:r w:rsidR="00C73EA9">
        <w:rPr>
          <w:rFonts w:cs="Calibri"/>
        </w:rPr>
        <w:t>63</w:t>
      </w:r>
      <w:r w:rsidR="00FB766D">
        <w:rPr>
          <w:rFonts w:cs="Calibri"/>
        </w:rPr>
        <w:t>%</w:t>
      </w:r>
      <w:r w:rsidR="00A628E6" w:rsidRPr="00CE4CFC">
        <w:rPr>
          <w:rFonts w:cs="Calibri"/>
        </w:rPr>
        <w:t>.</w:t>
      </w:r>
      <w:r w:rsidR="00A628E6">
        <w:rPr>
          <w:rFonts w:cs="Calibri"/>
        </w:rPr>
        <w:t xml:space="preserve"> </w:t>
      </w:r>
      <w:r w:rsidR="00FB766D">
        <w:rPr>
          <w:rFonts w:cs="Calibri"/>
        </w:rPr>
        <w:t xml:space="preserve">Across </w:t>
      </w:r>
      <w:r w:rsidR="002749D6">
        <w:rPr>
          <w:rFonts w:cs="Calibri"/>
        </w:rPr>
        <w:t xml:space="preserve">average customers, including </w:t>
      </w:r>
      <w:r w:rsidR="00FB766D">
        <w:rPr>
          <w:rFonts w:cs="Calibri"/>
        </w:rPr>
        <w:t>participants and non-participants, the</w:t>
      </w:r>
      <w:r w:rsidR="00EA72F5">
        <w:rPr>
          <w:rFonts w:cs="Calibri"/>
        </w:rPr>
        <w:t xml:space="preserve"> bill</w:t>
      </w:r>
      <w:r w:rsidR="00FB766D">
        <w:rPr>
          <w:rFonts w:cs="Calibri"/>
        </w:rPr>
        <w:t xml:space="preserve"> impact</w:t>
      </w:r>
      <w:r w:rsidR="002749D6">
        <w:rPr>
          <w:rFonts w:cs="Calibri"/>
        </w:rPr>
        <w:t>s are very close to zero depending on the s</w:t>
      </w:r>
      <w:r w:rsidR="00201D85">
        <w:rPr>
          <w:rFonts w:cs="Calibri"/>
        </w:rPr>
        <w:t xml:space="preserve">ector and scenario.  </w:t>
      </w:r>
      <w:r w:rsidR="00A628E6">
        <w:rPr>
          <w:rFonts w:cs="Calibri"/>
        </w:rPr>
        <w:t>T</w:t>
      </w:r>
      <w:r w:rsidR="00D921C7" w:rsidRPr="00CE4CFC">
        <w:rPr>
          <w:rFonts w:cs="Calibri"/>
        </w:rPr>
        <w:t xml:space="preserve">he analysis </w:t>
      </w:r>
      <w:r w:rsidR="00F619D4" w:rsidRPr="00CE4CFC">
        <w:rPr>
          <w:rFonts w:cs="Calibri"/>
        </w:rPr>
        <w:t>shows</w:t>
      </w:r>
      <w:r w:rsidR="00D921C7" w:rsidRPr="00CE4CFC">
        <w:rPr>
          <w:rFonts w:cs="Calibri"/>
        </w:rPr>
        <w:t xml:space="preserve"> slight </w:t>
      </w:r>
      <w:r w:rsidR="00A165F2" w:rsidRPr="00CE4CFC">
        <w:rPr>
          <w:rFonts w:cs="Calibri"/>
        </w:rPr>
        <w:t>long-term</w:t>
      </w:r>
      <w:r w:rsidR="00D921C7" w:rsidRPr="00CE4CFC">
        <w:rPr>
          <w:rFonts w:cs="Calibri"/>
        </w:rPr>
        <w:t xml:space="preserve"> </w:t>
      </w:r>
      <w:r w:rsidR="00B21094" w:rsidRPr="00CE4CFC">
        <w:rPr>
          <w:rFonts w:cs="Calibri"/>
        </w:rPr>
        <w:t>average rate</w:t>
      </w:r>
      <w:r w:rsidR="00D921C7" w:rsidRPr="00CE4CFC">
        <w:rPr>
          <w:rFonts w:cs="Calibri"/>
        </w:rPr>
        <w:t xml:space="preserve"> increases </w:t>
      </w:r>
      <w:r w:rsidR="00F619D4" w:rsidRPr="00CE4CFC">
        <w:rPr>
          <w:rFonts w:cs="Calibri"/>
        </w:rPr>
        <w:t xml:space="preserve">of between </w:t>
      </w:r>
      <w:r w:rsidR="00C52648">
        <w:rPr>
          <w:rFonts w:cs="Calibri"/>
        </w:rPr>
        <w:t>0.</w:t>
      </w:r>
      <w:r w:rsidR="00944223">
        <w:rPr>
          <w:rFonts w:cs="Calibri"/>
        </w:rPr>
        <w:t>01</w:t>
      </w:r>
      <w:r w:rsidR="00F619D4" w:rsidRPr="00CE4CFC">
        <w:rPr>
          <w:rFonts w:cs="Calibri"/>
        </w:rPr>
        <w:t xml:space="preserve">% and </w:t>
      </w:r>
      <w:r w:rsidR="00C52648">
        <w:rPr>
          <w:rFonts w:cs="Calibri"/>
        </w:rPr>
        <w:t>0.</w:t>
      </w:r>
      <w:r w:rsidR="001032BB">
        <w:rPr>
          <w:rFonts w:cs="Calibri"/>
        </w:rPr>
        <w:t>49</w:t>
      </w:r>
      <w:r w:rsidR="00F619D4" w:rsidRPr="00CE4CFC">
        <w:rPr>
          <w:rFonts w:cs="Calibri"/>
        </w:rPr>
        <w:t xml:space="preserve">% depending on sector </w:t>
      </w:r>
      <w:r w:rsidR="00D921C7" w:rsidRPr="00CE4CFC">
        <w:rPr>
          <w:rFonts w:cs="Calibri"/>
        </w:rPr>
        <w:t>due to the 202</w:t>
      </w:r>
      <w:r w:rsidR="001032BB">
        <w:rPr>
          <w:rFonts w:cs="Calibri"/>
        </w:rPr>
        <w:t>4</w:t>
      </w:r>
      <w:r w:rsidR="00D921C7" w:rsidRPr="00CE4CFC">
        <w:rPr>
          <w:rFonts w:cs="Calibri"/>
        </w:rPr>
        <w:t xml:space="preserve"> annual </w:t>
      </w:r>
      <w:r w:rsidR="00F619D4" w:rsidRPr="00CE4CFC">
        <w:rPr>
          <w:rFonts w:cs="Calibri"/>
        </w:rPr>
        <w:t>plan</w:t>
      </w:r>
      <w:r w:rsidR="00B96EAB" w:rsidRPr="00CE4CFC">
        <w:rPr>
          <w:rFonts w:cs="Calibri"/>
        </w:rPr>
        <w:t xml:space="preserve">. </w:t>
      </w:r>
    </w:p>
    <w:p w14:paraId="1A0146D0" w14:textId="77777777" w:rsidR="00F22870" w:rsidRDefault="00F22870" w:rsidP="00BF26C3">
      <w:pPr>
        <w:pStyle w:val="Heading1"/>
      </w:pPr>
      <w:bookmarkStart w:id="2" w:name="_Toc115442337"/>
      <w:r>
        <w:t>Electric Bill Impacts</w:t>
      </w:r>
      <w:bookmarkEnd w:id="2"/>
    </w:p>
    <w:p w14:paraId="3E06623E" w14:textId="77777777" w:rsidR="00F22870" w:rsidRPr="003917BE" w:rsidRDefault="00F22870" w:rsidP="00F22870">
      <w:pPr>
        <w:pStyle w:val="Heading2"/>
      </w:pPr>
      <w:bookmarkStart w:id="3" w:name="_Toc115442338"/>
      <w:r w:rsidRPr="003917BE">
        <w:t>Methodology</w:t>
      </w:r>
      <w:bookmarkEnd w:id="3"/>
    </w:p>
    <w:p w14:paraId="15F3C5B5" w14:textId="3DE5EA6E" w:rsidR="00F22870" w:rsidRPr="00B673D0" w:rsidRDefault="00F22870" w:rsidP="00F22870">
      <w:pPr>
        <w:autoSpaceDE w:val="0"/>
        <w:autoSpaceDN w:val="0"/>
        <w:adjustRightInd w:val="0"/>
        <w:jc w:val="both"/>
        <w:rPr>
          <w:rFonts w:cs="Calibri"/>
        </w:rPr>
      </w:pPr>
      <w:r w:rsidRPr="00B673D0">
        <w:rPr>
          <w:rFonts w:cs="Calibri"/>
        </w:rPr>
        <w:t>The electric bill impact models used to generate the electric results were adapted from models originally built by Synapse Energy Economics on behalf of the Division of Public Utilities and Carriers in 2013. These models are distinct from the traditional electric bill impacts models the Company present</w:t>
      </w:r>
      <w:r w:rsidR="00A62001">
        <w:rPr>
          <w:rFonts w:cs="Calibri"/>
        </w:rPr>
        <w:t>ed</w:t>
      </w:r>
      <w:r w:rsidRPr="00B673D0">
        <w:rPr>
          <w:rFonts w:cs="Calibri"/>
        </w:rPr>
        <w:t xml:space="preserve"> in Rates proceedings before the PUC. The models analyze two cases: the fulfillment of the </w:t>
      </w:r>
      <w:r>
        <w:rPr>
          <w:rFonts w:cs="Calibri"/>
        </w:rPr>
        <w:t>202</w:t>
      </w:r>
      <w:r w:rsidR="00F044AB">
        <w:rPr>
          <w:rFonts w:cs="Calibri"/>
        </w:rPr>
        <w:t>4</w:t>
      </w:r>
      <w:r w:rsidRPr="00B673D0">
        <w:rPr>
          <w:rFonts w:cs="Calibri"/>
        </w:rPr>
        <w:t xml:space="preserve"> Plan and the absence of an efficiency plan in </w:t>
      </w:r>
      <w:r w:rsidR="00B12EAD">
        <w:rPr>
          <w:rFonts w:cs="Calibri"/>
        </w:rPr>
        <w:t>2024</w:t>
      </w:r>
      <w:r w:rsidRPr="00B673D0">
        <w:rPr>
          <w:rFonts w:cs="Calibri"/>
        </w:rPr>
        <w:t xml:space="preserve">. This comparison isolates the effects of the proposed </w:t>
      </w:r>
      <w:r w:rsidR="00B12EAD">
        <w:rPr>
          <w:rFonts w:cs="Calibri"/>
        </w:rPr>
        <w:t xml:space="preserve">2024 </w:t>
      </w:r>
      <w:r w:rsidRPr="00B673D0">
        <w:rPr>
          <w:rFonts w:cs="Calibri"/>
        </w:rPr>
        <w:t xml:space="preserve">EE program charge and Fully Reconciling Funding Mechanism. It assumes energy efficiency plans have been implemented before </w:t>
      </w:r>
      <w:r w:rsidR="00B12EAD">
        <w:rPr>
          <w:rFonts w:cs="Calibri"/>
        </w:rPr>
        <w:t xml:space="preserve">2024 </w:t>
      </w:r>
      <w:r w:rsidRPr="00B673D0">
        <w:rPr>
          <w:rFonts w:cs="Calibri"/>
        </w:rPr>
        <w:t xml:space="preserve">but will not be offered starting in </w:t>
      </w:r>
      <w:r w:rsidR="00214F49">
        <w:rPr>
          <w:rFonts w:cs="Calibri"/>
        </w:rPr>
        <w:t>2024</w:t>
      </w:r>
      <w:r w:rsidRPr="00B673D0">
        <w:rPr>
          <w:rFonts w:cs="Calibri"/>
        </w:rPr>
        <w:t xml:space="preserve">. </w:t>
      </w:r>
      <w:r w:rsidR="004D4B41">
        <w:rPr>
          <w:rFonts w:cs="Calibri"/>
        </w:rPr>
        <w:t>As a result of th</w:t>
      </w:r>
      <w:r w:rsidR="00300801">
        <w:rPr>
          <w:rFonts w:cs="Calibri"/>
        </w:rPr>
        <w:t xml:space="preserve">is approach, </w:t>
      </w:r>
      <w:r w:rsidR="00300801">
        <w:t xml:space="preserve">the calculated impacts on long-term rates are not designed to reflect the net increase or decrease to the EE charge from the prior/current EE plan. </w:t>
      </w:r>
      <w:r w:rsidRPr="00B673D0">
        <w:rPr>
          <w:rFonts w:cs="Calibri"/>
        </w:rPr>
        <w:t>The analysis also incorporates how system-wide reduction in energy consumption affects the different elements of rates such as transmission, distribution, and commodity charges.</w:t>
      </w:r>
    </w:p>
    <w:p w14:paraId="151D4B12" w14:textId="19BAFED9" w:rsidR="003D0109" w:rsidRDefault="0012440D" w:rsidP="00F22870">
      <w:pPr>
        <w:autoSpaceDE w:val="0"/>
        <w:autoSpaceDN w:val="0"/>
        <w:adjustRightInd w:val="0"/>
        <w:jc w:val="both"/>
        <w:rPr>
          <w:rFonts w:cs="Calibri"/>
        </w:rPr>
      </w:pPr>
      <w:r>
        <w:rPr>
          <w:rFonts w:cs="Calibri"/>
        </w:rPr>
        <w:t xml:space="preserve">Nine separate models are </w:t>
      </w:r>
      <w:r w:rsidR="005C20AA">
        <w:rPr>
          <w:rFonts w:cs="Calibri"/>
        </w:rPr>
        <w:t>developed and analyzed</w:t>
      </w:r>
      <w:r>
        <w:rPr>
          <w:rFonts w:cs="Calibri"/>
        </w:rPr>
        <w:t>:</w:t>
      </w:r>
      <w:r w:rsidDel="00C65232">
        <w:rPr>
          <w:rFonts w:cs="Calibri"/>
        </w:rPr>
        <w:t xml:space="preserve"> </w:t>
      </w:r>
      <w:r w:rsidR="00C65232">
        <w:rPr>
          <w:rFonts w:cs="Calibri"/>
        </w:rPr>
        <w:t xml:space="preserve">small C&amp;I, medium C&amp;I, large C&amp;I, standard income residential </w:t>
      </w:r>
      <w:r w:rsidR="002161ED">
        <w:rPr>
          <w:rFonts w:cs="Calibri"/>
        </w:rPr>
        <w:t xml:space="preserve">with home energy reports only, </w:t>
      </w:r>
      <w:r w:rsidR="005B6B4F">
        <w:rPr>
          <w:rFonts w:cs="Calibri"/>
        </w:rPr>
        <w:t xml:space="preserve">standard income residential with all programs except home energy reports, standard income residential </w:t>
      </w:r>
      <w:r w:rsidR="001A3DFF">
        <w:rPr>
          <w:rFonts w:cs="Calibri"/>
        </w:rPr>
        <w:t>with all programs, income eligible residential with home energy reports only, income eligible residential with all programs except home energy reports, and income eligible residential with all programs</w:t>
      </w:r>
      <w:r w:rsidR="00F22870">
        <w:rPr>
          <w:rFonts w:cs="Calibri"/>
        </w:rPr>
        <w:t>.</w:t>
      </w:r>
      <w:r w:rsidR="00F22870" w:rsidRPr="00B673D0">
        <w:rPr>
          <w:rFonts w:cs="Calibri"/>
        </w:rPr>
        <w:t xml:space="preserve"> For all models, the key inputs are the net planned participation and savings numbers from Table E-7 in Attachment 5.</w:t>
      </w:r>
      <w:r w:rsidR="00F22870" w:rsidRPr="00B673D0">
        <w:rPr>
          <w:rStyle w:val="FootnoteReference"/>
          <w:rFonts w:cs="Calibri"/>
        </w:rPr>
        <w:footnoteReference w:id="2"/>
      </w:r>
      <w:r w:rsidR="00F22870" w:rsidRPr="00B673D0">
        <w:rPr>
          <w:rFonts w:cs="Calibri"/>
        </w:rPr>
        <w:t xml:space="preserve"> The models combine these data with rate class information to determine the benefits to customer bills from program participation. Table 1 below shows the mapping of efficiency programs to rate classes for the five models.</w:t>
      </w:r>
      <w:r w:rsidR="00F22870" w:rsidRPr="00B673D0">
        <w:rPr>
          <w:rStyle w:val="FootnoteReference"/>
          <w:rFonts w:cs="Calibri"/>
        </w:rPr>
        <w:footnoteReference w:id="3"/>
      </w:r>
      <w:r w:rsidR="00F22870" w:rsidRPr="00B673D0">
        <w:rPr>
          <w:rFonts w:cs="Calibri"/>
        </w:rPr>
        <w:t xml:space="preserve"> The diversity </w:t>
      </w:r>
      <w:r w:rsidR="00D7341B">
        <w:rPr>
          <w:rFonts w:cs="Calibri"/>
        </w:rPr>
        <w:t>seen within the</w:t>
      </w:r>
      <w:r w:rsidR="00F22870" w:rsidRPr="00B673D0">
        <w:rPr>
          <w:rFonts w:cs="Calibri"/>
        </w:rPr>
        <w:t xml:space="preserve"> commercial customer profile </w:t>
      </w:r>
      <w:r w:rsidR="00D7341B">
        <w:rPr>
          <w:rFonts w:cs="Calibri"/>
        </w:rPr>
        <w:t>indicates</w:t>
      </w:r>
      <w:r w:rsidR="00F22870" w:rsidRPr="00B673D0">
        <w:rPr>
          <w:rFonts w:cs="Calibri"/>
        </w:rPr>
        <w:t xml:space="preserve"> that customers from multiple rate classes can participate in any commercial program. Assumptions for these rate classes were made based on historical program participation data.</w:t>
      </w:r>
      <w:r w:rsidR="00F22870" w:rsidRPr="00B673D0">
        <w:rPr>
          <w:rStyle w:val="FootnoteReference"/>
          <w:rFonts w:cs="Calibri"/>
        </w:rPr>
        <w:footnoteReference w:id="4"/>
      </w:r>
    </w:p>
    <w:p w14:paraId="35CF8FB1" w14:textId="77777777" w:rsidR="003D0109" w:rsidRDefault="003D0109">
      <w:pPr>
        <w:spacing w:after="0" w:line="240" w:lineRule="auto"/>
        <w:rPr>
          <w:rFonts w:cs="Calibri"/>
        </w:rPr>
      </w:pPr>
      <w:r>
        <w:rPr>
          <w:rFonts w:cs="Calibri"/>
        </w:rPr>
        <w:br w:type="page"/>
      </w:r>
    </w:p>
    <w:p w14:paraId="599C95C9" w14:textId="60B4C3EF" w:rsidR="00F22870" w:rsidRPr="00AC2BE2" w:rsidRDefault="00F22870" w:rsidP="00F22870">
      <w:pPr>
        <w:pStyle w:val="Caption"/>
        <w:keepNext/>
      </w:pPr>
      <w:r w:rsidRPr="00793230">
        <w:rPr>
          <w:rFonts w:cs="Calibri"/>
          <w:color w:val="4F81BD"/>
          <w:sz w:val="22"/>
          <w:szCs w:val="22"/>
        </w:rPr>
        <w:t xml:space="preserve">Table </w:t>
      </w:r>
      <w:r w:rsidRPr="00793230">
        <w:rPr>
          <w:rFonts w:cs="Calibri"/>
          <w:color w:val="4F81BD"/>
          <w:sz w:val="22"/>
          <w:szCs w:val="22"/>
        </w:rPr>
        <w:fldChar w:fldCharType="begin"/>
      </w:r>
      <w:r w:rsidRPr="00793230">
        <w:rPr>
          <w:rFonts w:cs="Calibri"/>
          <w:color w:val="4F81BD"/>
          <w:sz w:val="22"/>
          <w:szCs w:val="22"/>
        </w:rPr>
        <w:instrText>SEQ Table \* ARABIC</w:instrText>
      </w:r>
      <w:r w:rsidRPr="00793230">
        <w:rPr>
          <w:rFonts w:cs="Calibri"/>
          <w:color w:val="4F81BD"/>
          <w:sz w:val="22"/>
          <w:szCs w:val="22"/>
        </w:rPr>
        <w:fldChar w:fldCharType="separate"/>
      </w:r>
      <w:r w:rsidR="00F573DA" w:rsidRPr="00793230">
        <w:rPr>
          <w:rFonts w:cs="Calibri"/>
          <w:color w:val="4F81BD"/>
          <w:sz w:val="22"/>
          <w:szCs w:val="22"/>
        </w:rPr>
        <w:t>1</w:t>
      </w:r>
      <w:r w:rsidRPr="00793230">
        <w:rPr>
          <w:rFonts w:cs="Calibri"/>
          <w:color w:val="4F81BD"/>
          <w:sz w:val="22"/>
          <w:szCs w:val="22"/>
        </w:rPr>
        <w:fldChar w:fldCharType="end"/>
      </w:r>
      <w:r w:rsidRPr="00793230">
        <w:rPr>
          <w:rFonts w:cs="Calibri"/>
          <w:color w:val="4F81BD"/>
          <w:sz w:val="22"/>
          <w:szCs w:val="22"/>
        </w:rPr>
        <w:t xml:space="preserve">. Electric Rate and Program </w:t>
      </w:r>
      <w:r w:rsidR="00793230">
        <w:rPr>
          <w:rFonts w:cs="Calibri"/>
          <w:color w:val="4F81BD"/>
          <w:sz w:val="22"/>
          <w:szCs w:val="22"/>
        </w:rPr>
        <w:t>Mapping</w:t>
      </w:r>
    </w:p>
    <w:tbl>
      <w:tblPr>
        <w:tblStyle w:val="GridTable4-Accent1"/>
        <w:tblW w:w="0" w:type="auto"/>
        <w:tblLook w:val="04A0" w:firstRow="1" w:lastRow="0" w:firstColumn="1" w:lastColumn="0" w:noHBand="0" w:noVBand="1"/>
      </w:tblPr>
      <w:tblGrid>
        <w:gridCol w:w="3088"/>
        <w:gridCol w:w="1947"/>
        <w:gridCol w:w="4230"/>
      </w:tblGrid>
      <w:tr w:rsidR="00F22870" w:rsidRPr="00F77544" w14:paraId="29D8ED40" w14:textId="77777777" w:rsidTr="00D226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8" w:type="dxa"/>
          </w:tcPr>
          <w:p w14:paraId="672B19EE" w14:textId="77777777" w:rsidR="00F22870" w:rsidRPr="00D226E3" w:rsidRDefault="00F22870" w:rsidP="00477C28">
            <w:pPr>
              <w:autoSpaceDE w:val="0"/>
              <w:autoSpaceDN w:val="0"/>
              <w:adjustRightInd w:val="0"/>
              <w:spacing w:after="0" w:line="240" w:lineRule="auto"/>
              <w:jc w:val="both"/>
              <w:rPr>
                <w:rFonts w:cs="Calibri"/>
                <w:b w:val="0"/>
                <w:sz w:val="20"/>
                <w:szCs w:val="20"/>
              </w:rPr>
            </w:pPr>
            <w:r w:rsidRPr="00D226E3">
              <w:rPr>
                <w:rFonts w:cs="Calibri"/>
                <w:sz w:val="20"/>
                <w:szCs w:val="20"/>
              </w:rPr>
              <w:t>Electric Bill Impact Model</w:t>
            </w:r>
          </w:p>
        </w:tc>
        <w:tc>
          <w:tcPr>
            <w:tcW w:w="1947" w:type="dxa"/>
          </w:tcPr>
          <w:p w14:paraId="7B8EBE76" w14:textId="77777777" w:rsidR="00F22870" w:rsidRPr="00D226E3" w:rsidRDefault="00F22870" w:rsidP="00477C28">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cs="Calibri"/>
                <w:b w:val="0"/>
                <w:sz w:val="20"/>
                <w:szCs w:val="20"/>
              </w:rPr>
            </w:pPr>
            <w:r w:rsidRPr="00D226E3">
              <w:rPr>
                <w:rFonts w:cs="Calibri"/>
                <w:sz w:val="20"/>
                <w:szCs w:val="20"/>
              </w:rPr>
              <w:t>Rate Class(es)</w:t>
            </w:r>
          </w:p>
        </w:tc>
        <w:tc>
          <w:tcPr>
            <w:tcW w:w="4230" w:type="dxa"/>
          </w:tcPr>
          <w:p w14:paraId="2E2DB080" w14:textId="77777777" w:rsidR="00F22870" w:rsidRPr="00D226E3" w:rsidRDefault="00F22870" w:rsidP="00477C28">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cs="Calibri"/>
                <w:b w:val="0"/>
                <w:sz w:val="20"/>
                <w:szCs w:val="20"/>
              </w:rPr>
            </w:pPr>
            <w:r w:rsidRPr="00D226E3">
              <w:rPr>
                <w:rFonts w:cs="Calibri"/>
                <w:sz w:val="20"/>
                <w:szCs w:val="20"/>
              </w:rPr>
              <w:t>Efficiency Programs</w:t>
            </w:r>
          </w:p>
        </w:tc>
      </w:tr>
      <w:tr w:rsidR="00F22870" w:rsidRPr="00F77544" w14:paraId="1FC5A31E" w14:textId="77777777" w:rsidTr="00D22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8" w:type="dxa"/>
            <w:vMerge w:val="restart"/>
            <w:shd w:val="clear" w:color="auto" w:fill="FFFFFF" w:themeFill="background1"/>
          </w:tcPr>
          <w:p w14:paraId="0212866C" w14:textId="570B7169" w:rsidR="00F22870" w:rsidRPr="00D226E3" w:rsidRDefault="00F22870" w:rsidP="00477C28">
            <w:pPr>
              <w:autoSpaceDE w:val="0"/>
              <w:autoSpaceDN w:val="0"/>
              <w:adjustRightInd w:val="0"/>
              <w:spacing w:after="0" w:line="240" w:lineRule="auto"/>
              <w:rPr>
                <w:rFonts w:cs="Calibri"/>
                <w:b w:val="0"/>
                <w:bCs w:val="0"/>
                <w:sz w:val="20"/>
                <w:szCs w:val="20"/>
              </w:rPr>
            </w:pPr>
            <w:r w:rsidRPr="00D226E3">
              <w:rPr>
                <w:rFonts w:cs="Calibri"/>
                <w:sz w:val="20"/>
                <w:szCs w:val="20"/>
              </w:rPr>
              <w:t>Residential Electric</w:t>
            </w:r>
          </w:p>
        </w:tc>
        <w:tc>
          <w:tcPr>
            <w:tcW w:w="1947" w:type="dxa"/>
            <w:vMerge w:val="restart"/>
            <w:shd w:val="clear" w:color="auto" w:fill="FFFFFF" w:themeFill="background1"/>
          </w:tcPr>
          <w:p w14:paraId="1BBB8C5E" w14:textId="77777777" w:rsidR="00F22870" w:rsidRPr="00D226E3" w:rsidRDefault="00F22870" w:rsidP="00477C28">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sz w:val="20"/>
                <w:szCs w:val="20"/>
              </w:rPr>
            </w:pPr>
            <w:r w:rsidRPr="00D226E3">
              <w:rPr>
                <w:rFonts w:cs="Calibri"/>
                <w:sz w:val="20"/>
                <w:szCs w:val="20"/>
              </w:rPr>
              <w:t>A-16</w:t>
            </w:r>
          </w:p>
        </w:tc>
        <w:tc>
          <w:tcPr>
            <w:tcW w:w="4230" w:type="dxa"/>
            <w:shd w:val="clear" w:color="auto" w:fill="FFFFFF" w:themeFill="background1"/>
          </w:tcPr>
          <w:p w14:paraId="0504AF4C" w14:textId="77777777" w:rsidR="00F22870" w:rsidRPr="00D226E3" w:rsidRDefault="00F22870" w:rsidP="00477C28">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Calibri"/>
                <w:sz w:val="20"/>
                <w:szCs w:val="20"/>
              </w:rPr>
            </w:pPr>
            <w:r w:rsidRPr="00D226E3">
              <w:rPr>
                <w:rFonts w:cs="Calibri"/>
                <w:sz w:val="20"/>
                <w:szCs w:val="20"/>
              </w:rPr>
              <w:t>Home Energy Reports</w:t>
            </w:r>
          </w:p>
        </w:tc>
      </w:tr>
      <w:tr w:rsidR="00F22870" w:rsidRPr="00F77544" w14:paraId="0D74C76C" w14:textId="77777777" w:rsidTr="00D226E3">
        <w:tc>
          <w:tcPr>
            <w:cnfStyle w:val="001000000000" w:firstRow="0" w:lastRow="0" w:firstColumn="1" w:lastColumn="0" w:oddVBand="0" w:evenVBand="0" w:oddHBand="0" w:evenHBand="0" w:firstRowFirstColumn="0" w:firstRowLastColumn="0" w:lastRowFirstColumn="0" w:lastRowLastColumn="0"/>
            <w:tcW w:w="3088" w:type="dxa"/>
            <w:vMerge/>
            <w:shd w:val="clear" w:color="auto" w:fill="FFFFFF" w:themeFill="background1"/>
          </w:tcPr>
          <w:p w14:paraId="7C0F8BB0" w14:textId="77777777" w:rsidR="00F22870" w:rsidRPr="00D226E3" w:rsidRDefault="00F22870" w:rsidP="00477C28">
            <w:pPr>
              <w:autoSpaceDE w:val="0"/>
              <w:autoSpaceDN w:val="0"/>
              <w:adjustRightInd w:val="0"/>
              <w:spacing w:after="0" w:line="240" w:lineRule="auto"/>
              <w:rPr>
                <w:rFonts w:cs="Calibri"/>
                <w:b w:val="0"/>
                <w:bCs w:val="0"/>
                <w:sz w:val="20"/>
                <w:szCs w:val="20"/>
              </w:rPr>
            </w:pPr>
          </w:p>
        </w:tc>
        <w:tc>
          <w:tcPr>
            <w:tcW w:w="1947" w:type="dxa"/>
            <w:vMerge/>
            <w:shd w:val="clear" w:color="auto" w:fill="FFFFFF" w:themeFill="background1"/>
          </w:tcPr>
          <w:p w14:paraId="7B6EDE50" w14:textId="77777777" w:rsidR="00F22870" w:rsidRPr="00D226E3" w:rsidRDefault="00F22870" w:rsidP="00477C28">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230" w:type="dxa"/>
            <w:shd w:val="clear" w:color="auto" w:fill="FFFFFF" w:themeFill="background1"/>
          </w:tcPr>
          <w:p w14:paraId="67539B2C" w14:textId="77777777" w:rsidR="00F22870" w:rsidRPr="00D226E3" w:rsidRDefault="00F22870" w:rsidP="00477C28">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Calibri"/>
                <w:sz w:val="20"/>
                <w:szCs w:val="20"/>
              </w:rPr>
            </w:pPr>
            <w:r w:rsidRPr="00D226E3">
              <w:rPr>
                <w:rFonts w:cs="Calibri"/>
                <w:sz w:val="20"/>
                <w:szCs w:val="20"/>
              </w:rPr>
              <w:t>EnergyStar HVAC</w:t>
            </w:r>
          </w:p>
        </w:tc>
      </w:tr>
      <w:tr w:rsidR="00F22870" w:rsidRPr="00F77544" w14:paraId="2964A86F" w14:textId="77777777" w:rsidTr="00D22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8" w:type="dxa"/>
            <w:vMerge/>
            <w:shd w:val="clear" w:color="auto" w:fill="FFFFFF" w:themeFill="background1"/>
          </w:tcPr>
          <w:p w14:paraId="541324F1" w14:textId="77777777" w:rsidR="00F22870" w:rsidRPr="00D226E3" w:rsidRDefault="00F22870" w:rsidP="00477C28">
            <w:pPr>
              <w:autoSpaceDE w:val="0"/>
              <w:autoSpaceDN w:val="0"/>
              <w:adjustRightInd w:val="0"/>
              <w:spacing w:after="0" w:line="240" w:lineRule="auto"/>
              <w:rPr>
                <w:rFonts w:cs="Calibri"/>
                <w:b w:val="0"/>
                <w:bCs w:val="0"/>
                <w:sz w:val="20"/>
                <w:szCs w:val="20"/>
              </w:rPr>
            </w:pPr>
          </w:p>
        </w:tc>
        <w:tc>
          <w:tcPr>
            <w:tcW w:w="1947" w:type="dxa"/>
            <w:vMerge/>
            <w:shd w:val="clear" w:color="auto" w:fill="FFFFFF" w:themeFill="background1"/>
          </w:tcPr>
          <w:p w14:paraId="7D7D1FEB" w14:textId="77777777" w:rsidR="00F22870" w:rsidRPr="00D226E3" w:rsidRDefault="00F22870" w:rsidP="00477C28">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230" w:type="dxa"/>
            <w:shd w:val="clear" w:color="auto" w:fill="FFFFFF" w:themeFill="background1"/>
          </w:tcPr>
          <w:p w14:paraId="443E6991" w14:textId="77777777" w:rsidR="00F22870" w:rsidRPr="00D226E3" w:rsidRDefault="00F22870" w:rsidP="00477C28">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Calibri"/>
                <w:sz w:val="20"/>
                <w:szCs w:val="20"/>
              </w:rPr>
            </w:pPr>
            <w:r w:rsidRPr="00D226E3">
              <w:rPr>
                <w:rFonts w:cs="Calibri"/>
                <w:sz w:val="20"/>
                <w:szCs w:val="20"/>
              </w:rPr>
              <w:t>EnergyWise Multifamily</w:t>
            </w:r>
          </w:p>
        </w:tc>
      </w:tr>
      <w:tr w:rsidR="00F22870" w:rsidRPr="00F77544" w14:paraId="5D740F55" w14:textId="77777777" w:rsidTr="00D226E3">
        <w:tc>
          <w:tcPr>
            <w:cnfStyle w:val="001000000000" w:firstRow="0" w:lastRow="0" w:firstColumn="1" w:lastColumn="0" w:oddVBand="0" w:evenVBand="0" w:oddHBand="0" w:evenHBand="0" w:firstRowFirstColumn="0" w:firstRowLastColumn="0" w:lastRowFirstColumn="0" w:lastRowLastColumn="0"/>
            <w:tcW w:w="3088" w:type="dxa"/>
            <w:vMerge/>
            <w:shd w:val="clear" w:color="auto" w:fill="FFFFFF" w:themeFill="background1"/>
          </w:tcPr>
          <w:p w14:paraId="159E6C1D" w14:textId="77777777" w:rsidR="00F22870" w:rsidRPr="00D226E3" w:rsidRDefault="00F22870" w:rsidP="00477C28">
            <w:pPr>
              <w:autoSpaceDE w:val="0"/>
              <w:autoSpaceDN w:val="0"/>
              <w:adjustRightInd w:val="0"/>
              <w:spacing w:after="0" w:line="240" w:lineRule="auto"/>
              <w:rPr>
                <w:rFonts w:cs="Calibri"/>
                <w:b w:val="0"/>
                <w:bCs w:val="0"/>
                <w:sz w:val="20"/>
                <w:szCs w:val="20"/>
              </w:rPr>
            </w:pPr>
          </w:p>
        </w:tc>
        <w:tc>
          <w:tcPr>
            <w:tcW w:w="1947" w:type="dxa"/>
            <w:vMerge/>
            <w:shd w:val="clear" w:color="auto" w:fill="FFFFFF" w:themeFill="background1"/>
          </w:tcPr>
          <w:p w14:paraId="79A65A71" w14:textId="77777777" w:rsidR="00F22870" w:rsidRPr="00D226E3" w:rsidRDefault="00F22870" w:rsidP="00477C28">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230" w:type="dxa"/>
            <w:shd w:val="clear" w:color="auto" w:fill="FFFFFF" w:themeFill="background1"/>
          </w:tcPr>
          <w:p w14:paraId="7DE88CF2" w14:textId="77777777" w:rsidR="00F22870" w:rsidRPr="00D226E3" w:rsidRDefault="00F22870" w:rsidP="00477C28">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Calibri"/>
                <w:sz w:val="20"/>
                <w:szCs w:val="20"/>
              </w:rPr>
            </w:pPr>
            <w:r w:rsidRPr="00D226E3">
              <w:rPr>
                <w:rFonts w:cs="Calibri"/>
                <w:sz w:val="20"/>
                <w:szCs w:val="20"/>
              </w:rPr>
              <w:t>Residential Consumer Products</w:t>
            </w:r>
          </w:p>
        </w:tc>
      </w:tr>
      <w:tr w:rsidR="00F22870" w:rsidRPr="00F77544" w14:paraId="3E5E76BD" w14:textId="77777777" w:rsidTr="00D22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8" w:type="dxa"/>
            <w:vMerge w:val="restart"/>
            <w:shd w:val="clear" w:color="auto" w:fill="FFFFFF" w:themeFill="background1"/>
          </w:tcPr>
          <w:p w14:paraId="487D0D9D" w14:textId="6D0AA23B" w:rsidR="00F22870" w:rsidRPr="00D226E3" w:rsidRDefault="00F22870" w:rsidP="00477C28">
            <w:pPr>
              <w:autoSpaceDE w:val="0"/>
              <w:autoSpaceDN w:val="0"/>
              <w:adjustRightInd w:val="0"/>
              <w:spacing w:after="0" w:line="240" w:lineRule="auto"/>
              <w:rPr>
                <w:rFonts w:cs="Calibri"/>
                <w:b w:val="0"/>
                <w:bCs w:val="0"/>
                <w:sz w:val="20"/>
                <w:szCs w:val="20"/>
              </w:rPr>
            </w:pPr>
            <w:r w:rsidRPr="00D226E3">
              <w:rPr>
                <w:rFonts w:cs="Calibri"/>
                <w:sz w:val="20"/>
                <w:szCs w:val="20"/>
              </w:rPr>
              <w:t>Income Eligible Electric</w:t>
            </w:r>
          </w:p>
        </w:tc>
        <w:tc>
          <w:tcPr>
            <w:tcW w:w="1947" w:type="dxa"/>
            <w:vMerge w:val="restart"/>
            <w:shd w:val="clear" w:color="auto" w:fill="FFFFFF" w:themeFill="background1"/>
          </w:tcPr>
          <w:p w14:paraId="008022CB" w14:textId="77777777" w:rsidR="00F22870" w:rsidRPr="00D226E3" w:rsidRDefault="00F22870" w:rsidP="00477C28">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sz w:val="20"/>
                <w:szCs w:val="20"/>
              </w:rPr>
            </w:pPr>
            <w:r w:rsidRPr="00D226E3">
              <w:rPr>
                <w:rFonts w:cs="Calibri"/>
                <w:sz w:val="20"/>
                <w:szCs w:val="20"/>
              </w:rPr>
              <w:t>A-60</w:t>
            </w:r>
          </w:p>
        </w:tc>
        <w:tc>
          <w:tcPr>
            <w:tcW w:w="4230" w:type="dxa"/>
            <w:shd w:val="clear" w:color="auto" w:fill="FFFFFF" w:themeFill="background1"/>
          </w:tcPr>
          <w:p w14:paraId="4EC388A8" w14:textId="77777777" w:rsidR="00F22870" w:rsidRPr="00D226E3" w:rsidRDefault="00F22870" w:rsidP="00477C28">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Calibri"/>
                <w:sz w:val="20"/>
                <w:szCs w:val="20"/>
              </w:rPr>
            </w:pPr>
            <w:r w:rsidRPr="00D226E3">
              <w:rPr>
                <w:rFonts w:cs="Calibri"/>
                <w:sz w:val="20"/>
                <w:szCs w:val="20"/>
              </w:rPr>
              <w:t>Income Eligible Single Family</w:t>
            </w:r>
          </w:p>
        </w:tc>
      </w:tr>
      <w:tr w:rsidR="00F22870" w:rsidRPr="00F77544" w14:paraId="6DFCD086" w14:textId="77777777" w:rsidTr="00D226E3">
        <w:tc>
          <w:tcPr>
            <w:cnfStyle w:val="001000000000" w:firstRow="0" w:lastRow="0" w:firstColumn="1" w:lastColumn="0" w:oddVBand="0" w:evenVBand="0" w:oddHBand="0" w:evenHBand="0" w:firstRowFirstColumn="0" w:firstRowLastColumn="0" w:lastRowFirstColumn="0" w:lastRowLastColumn="0"/>
            <w:tcW w:w="3088" w:type="dxa"/>
            <w:vMerge/>
            <w:shd w:val="clear" w:color="auto" w:fill="FFFFFF" w:themeFill="background1"/>
          </w:tcPr>
          <w:p w14:paraId="48FE1091" w14:textId="77777777" w:rsidR="00F22870" w:rsidRPr="00D226E3" w:rsidRDefault="00F22870" w:rsidP="00477C28">
            <w:pPr>
              <w:autoSpaceDE w:val="0"/>
              <w:autoSpaceDN w:val="0"/>
              <w:adjustRightInd w:val="0"/>
              <w:spacing w:after="0" w:line="240" w:lineRule="auto"/>
              <w:rPr>
                <w:rFonts w:cs="Calibri"/>
                <w:b w:val="0"/>
                <w:bCs w:val="0"/>
                <w:sz w:val="20"/>
                <w:szCs w:val="20"/>
              </w:rPr>
            </w:pPr>
          </w:p>
        </w:tc>
        <w:tc>
          <w:tcPr>
            <w:tcW w:w="1947" w:type="dxa"/>
            <w:vMerge/>
            <w:shd w:val="clear" w:color="auto" w:fill="FFFFFF" w:themeFill="background1"/>
          </w:tcPr>
          <w:p w14:paraId="55CE77B2" w14:textId="77777777" w:rsidR="00F22870" w:rsidRPr="00D226E3" w:rsidRDefault="00F22870" w:rsidP="00477C28">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230" w:type="dxa"/>
            <w:shd w:val="clear" w:color="auto" w:fill="FFFFFF" w:themeFill="background1"/>
          </w:tcPr>
          <w:p w14:paraId="6CD2CC84" w14:textId="77777777" w:rsidR="00F22870" w:rsidRPr="00D226E3" w:rsidRDefault="00F22870" w:rsidP="00477C28">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Calibri"/>
                <w:sz w:val="20"/>
                <w:szCs w:val="20"/>
              </w:rPr>
            </w:pPr>
            <w:r w:rsidRPr="00D226E3">
              <w:rPr>
                <w:rFonts w:cs="Calibri"/>
                <w:sz w:val="20"/>
                <w:szCs w:val="20"/>
              </w:rPr>
              <w:t>Income Eligible Multifamily</w:t>
            </w:r>
          </w:p>
        </w:tc>
      </w:tr>
      <w:tr w:rsidR="00F22870" w:rsidRPr="00F77544" w14:paraId="2D8CFAC6" w14:textId="77777777" w:rsidTr="00D22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8" w:type="dxa"/>
            <w:vMerge/>
            <w:shd w:val="clear" w:color="auto" w:fill="FFFFFF" w:themeFill="background1"/>
          </w:tcPr>
          <w:p w14:paraId="16D8862A" w14:textId="77777777" w:rsidR="00F22870" w:rsidRPr="00D226E3" w:rsidRDefault="00F22870" w:rsidP="00477C28">
            <w:pPr>
              <w:autoSpaceDE w:val="0"/>
              <w:autoSpaceDN w:val="0"/>
              <w:adjustRightInd w:val="0"/>
              <w:spacing w:after="0" w:line="240" w:lineRule="auto"/>
              <w:rPr>
                <w:rFonts w:cs="Calibri"/>
                <w:b w:val="0"/>
                <w:bCs w:val="0"/>
                <w:sz w:val="20"/>
                <w:szCs w:val="20"/>
              </w:rPr>
            </w:pPr>
          </w:p>
        </w:tc>
        <w:tc>
          <w:tcPr>
            <w:tcW w:w="1947" w:type="dxa"/>
            <w:vMerge/>
            <w:shd w:val="clear" w:color="auto" w:fill="FFFFFF" w:themeFill="background1"/>
          </w:tcPr>
          <w:p w14:paraId="0B9FB8E0" w14:textId="77777777" w:rsidR="00F22870" w:rsidRPr="00D226E3" w:rsidRDefault="00F22870" w:rsidP="00477C28">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230" w:type="dxa"/>
            <w:shd w:val="clear" w:color="auto" w:fill="FFFFFF" w:themeFill="background1"/>
          </w:tcPr>
          <w:p w14:paraId="09842506" w14:textId="77777777" w:rsidR="00F22870" w:rsidRPr="00D226E3" w:rsidRDefault="00F22870" w:rsidP="00477C28">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Calibri"/>
                <w:sz w:val="20"/>
                <w:szCs w:val="20"/>
              </w:rPr>
            </w:pPr>
            <w:r w:rsidRPr="00D226E3">
              <w:rPr>
                <w:rFonts w:cs="Calibri"/>
                <w:sz w:val="20"/>
                <w:szCs w:val="20"/>
              </w:rPr>
              <w:t>Home Energy Reports</w:t>
            </w:r>
          </w:p>
        </w:tc>
      </w:tr>
      <w:tr w:rsidR="00F22870" w:rsidRPr="00F77544" w14:paraId="7B913FA0" w14:textId="77777777" w:rsidTr="00D226E3">
        <w:tc>
          <w:tcPr>
            <w:cnfStyle w:val="001000000000" w:firstRow="0" w:lastRow="0" w:firstColumn="1" w:lastColumn="0" w:oddVBand="0" w:evenVBand="0" w:oddHBand="0" w:evenHBand="0" w:firstRowFirstColumn="0" w:firstRowLastColumn="0" w:lastRowFirstColumn="0" w:lastRowLastColumn="0"/>
            <w:tcW w:w="3088" w:type="dxa"/>
            <w:vMerge w:val="restart"/>
            <w:shd w:val="clear" w:color="auto" w:fill="FFFFFF" w:themeFill="background1"/>
          </w:tcPr>
          <w:p w14:paraId="147D3C20" w14:textId="77777777" w:rsidR="00F22870" w:rsidRPr="00D226E3" w:rsidRDefault="00F22870" w:rsidP="00477C28">
            <w:pPr>
              <w:autoSpaceDE w:val="0"/>
              <w:autoSpaceDN w:val="0"/>
              <w:adjustRightInd w:val="0"/>
              <w:spacing w:after="0" w:line="240" w:lineRule="auto"/>
              <w:rPr>
                <w:rFonts w:cs="Calibri"/>
                <w:b w:val="0"/>
                <w:bCs w:val="0"/>
                <w:sz w:val="20"/>
                <w:szCs w:val="20"/>
              </w:rPr>
            </w:pPr>
            <w:r w:rsidRPr="00D226E3">
              <w:rPr>
                <w:rFonts w:cs="Calibri"/>
                <w:sz w:val="20"/>
                <w:szCs w:val="20"/>
              </w:rPr>
              <w:t>Small Commercial</w:t>
            </w:r>
          </w:p>
        </w:tc>
        <w:tc>
          <w:tcPr>
            <w:tcW w:w="1947" w:type="dxa"/>
            <w:vMerge w:val="restart"/>
            <w:shd w:val="clear" w:color="auto" w:fill="FFFFFF" w:themeFill="background1"/>
          </w:tcPr>
          <w:p w14:paraId="237841F6" w14:textId="77777777" w:rsidR="00F22870" w:rsidRPr="00D226E3" w:rsidRDefault="00F22870" w:rsidP="00477C28">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D226E3">
              <w:rPr>
                <w:rFonts w:cs="Calibri"/>
                <w:sz w:val="20"/>
                <w:szCs w:val="20"/>
              </w:rPr>
              <w:t>C-06</w:t>
            </w:r>
          </w:p>
        </w:tc>
        <w:tc>
          <w:tcPr>
            <w:tcW w:w="4230" w:type="dxa"/>
            <w:shd w:val="clear" w:color="auto" w:fill="FFFFFF" w:themeFill="background1"/>
          </w:tcPr>
          <w:p w14:paraId="578745E5" w14:textId="77777777" w:rsidR="00F22870" w:rsidRPr="00D226E3" w:rsidRDefault="00F22870" w:rsidP="00477C28">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Calibri"/>
                <w:sz w:val="20"/>
                <w:szCs w:val="20"/>
              </w:rPr>
            </w:pPr>
            <w:r w:rsidRPr="00D226E3">
              <w:rPr>
                <w:rFonts w:cs="Calibri"/>
                <w:sz w:val="20"/>
                <w:szCs w:val="20"/>
              </w:rPr>
              <w:t>Small Business Direct Install</w:t>
            </w:r>
          </w:p>
        </w:tc>
      </w:tr>
      <w:tr w:rsidR="00F22870" w:rsidRPr="00F77544" w14:paraId="50C2BEB9" w14:textId="77777777" w:rsidTr="00D22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8" w:type="dxa"/>
            <w:vMerge/>
          </w:tcPr>
          <w:p w14:paraId="0E42CA60" w14:textId="77777777" w:rsidR="00F22870" w:rsidRPr="00D226E3" w:rsidRDefault="00F22870" w:rsidP="00477C28">
            <w:pPr>
              <w:autoSpaceDE w:val="0"/>
              <w:autoSpaceDN w:val="0"/>
              <w:adjustRightInd w:val="0"/>
              <w:spacing w:after="0" w:line="240" w:lineRule="auto"/>
              <w:rPr>
                <w:rFonts w:cs="Calibri"/>
                <w:sz w:val="20"/>
                <w:szCs w:val="20"/>
              </w:rPr>
            </w:pPr>
          </w:p>
        </w:tc>
        <w:tc>
          <w:tcPr>
            <w:tcW w:w="1947" w:type="dxa"/>
            <w:vMerge/>
          </w:tcPr>
          <w:p w14:paraId="335A720F" w14:textId="77777777" w:rsidR="00F22870" w:rsidRPr="00D226E3" w:rsidRDefault="00F22870" w:rsidP="00477C28">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230" w:type="dxa"/>
            <w:shd w:val="clear" w:color="auto" w:fill="FFFFFF" w:themeFill="background1"/>
          </w:tcPr>
          <w:p w14:paraId="2FD6713B" w14:textId="77777777" w:rsidR="00F22870" w:rsidRPr="00D226E3" w:rsidRDefault="00F22870" w:rsidP="00477C28">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Calibri"/>
                <w:sz w:val="20"/>
                <w:szCs w:val="20"/>
              </w:rPr>
            </w:pPr>
            <w:r w:rsidRPr="00D226E3">
              <w:rPr>
                <w:rFonts w:cs="Calibri"/>
                <w:sz w:val="20"/>
                <w:szCs w:val="20"/>
              </w:rPr>
              <w:t>Large Commercial New Construction</w:t>
            </w:r>
          </w:p>
        </w:tc>
      </w:tr>
      <w:tr w:rsidR="00F22870" w:rsidRPr="00F77544" w14:paraId="0D64DC37" w14:textId="77777777" w:rsidTr="00D226E3">
        <w:tc>
          <w:tcPr>
            <w:cnfStyle w:val="001000000000" w:firstRow="0" w:lastRow="0" w:firstColumn="1" w:lastColumn="0" w:oddVBand="0" w:evenVBand="0" w:oddHBand="0" w:evenHBand="0" w:firstRowFirstColumn="0" w:firstRowLastColumn="0" w:lastRowFirstColumn="0" w:lastRowLastColumn="0"/>
            <w:tcW w:w="3088" w:type="dxa"/>
            <w:vMerge/>
          </w:tcPr>
          <w:p w14:paraId="5A1B9453" w14:textId="77777777" w:rsidR="00F22870" w:rsidRPr="00D226E3" w:rsidRDefault="00F22870" w:rsidP="00477C28">
            <w:pPr>
              <w:autoSpaceDE w:val="0"/>
              <w:autoSpaceDN w:val="0"/>
              <w:adjustRightInd w:val="0"/>
              <w:spacing w:after="0" w:line="240" w:lineRule="auto"/>
              <w:rPr>
                <w:rFonts w:cs="Calibri"/>
                <w:sz w:val="20"/>
                <w:szCs w:val="20"/>
              </w:rPr>
            </w:pPr>
          </w:p>
        </w:tc>
        <w:tc>
          <w:tcPr>
            <w:tcW w:w="1947" w:type="dxa"/>
            <w:vMerge/>
          </w:tcPr>
          <w:p w14:paraId="6F161B2D" w14:textId="77777777" w:rsidR="00F22870" w:rsidRPr="00D226E3" w:rsidRDefault="00F22870" w:rsidP="00477C28">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230" w:type="dxa"/>
          </w:tcPr>
          <w:p w14:paraId="3E1D842F" w14:textId="77777777" w:rsidR="00F22870" w:rsidRPr="00D226E3" w:rsidRDefault="00F22870" w:rsidP="00477C28">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Calibri"/>
                <w:sz w:val="20"/>
                <w:szCs w:val="20"/>
              </w:rPr>
            </w:pPr>
            <w:r w:rsidRPr="00D226E3">
              <w:rPr>
                <w:rFonts w:cs="Calibri"/>
                <w:sz w:val="20"/>
                <w:szCs w:val="20"/>
              </w:rPr>
              <w:t>Large Commercial Retrofit</w:t>
            </w:r>
          </w:p>
        </w:tc>
      </w:tr>
      <w:tr w:rsidR="00F22870" w:rsidRPr="00F77544" w14:paraId="48D76FD8" w14:textId="77777777" w:rsidTr="00D22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8" w:type="dxa"/>
            <w:vMerge w:val="restart"/>
            <w:shd w:val="clear" w:color="auto" w:fill="FFFFFF" w:themeFill="background1"/>
          </w:tcPr>
          <w:p w14:paraId="7160D4FD" w14:textId="77777777" w:rsidR="00F22870" w:rsidRPr="00D226E3" w:rsidRDefault="00F22870" w:rsidP="00477C28">
            <w:pPr>
              <w:autoSpaceDE w:val="0"/>
              <w:autoSpaceDN w:val="0"/>
              <w:adjustRightInd w:val="0"/>
              <w:spacing w:after="0" w:line="240" w:lineRule="auto"/>
              <w:rPr>
                <w:rFonts w:cs="Calibri"/>
                <w:b w:val="0"/>
                <w:bCs w:val="0"/>
                <w:sz w:val="20"/>
                <w:szCs w:val="20"/>
              </w:rPr>
            </w:pPr>
            <w:r w:rsidRPr="00D226E3">
              <w:rPr>
                <w:rFonts w:cs="Calibri"/>
                <w:sz w:val="20"/>
                <w:szCs w:val="20"/>
              </w:rPr>
              <w:t>Medium Commercial</w:t>
            </w:r>
          </w:p>
        </w:tc>
        <w:tc>
          <w:tcPr>
            <w:tcW w:w="1947" w:type="dxa"/>
            <w:vMerge w:val="restart"/>
            <w:shd w:val="clear" w:color="auto" w:fill="FFFFFF" w:themeFill="background1"/>
          </w:tcPr>
          <w:p w14:paraId="2AD7D1CB" w14:textId="77777777" w:rsidR="00F22870" w:rsidRPr="00D226E3" w:rsidRDefault="00F22870" w:rsidP="00477C28">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sz w:val="20"/>
                <w:szCs w:val="20"/>
              </w:rPr>
            </w:pPr>
            <w:r w:rsidRPr="00D226E3">
              <w:rPr>
                <w:rFonts w:cs="Calibri"/>
                <w:sz w:val="20"/>
                <w:szCs w:val="20"/>
              </w:rPr>
              <w:t>G-02</w:t>
            </w:r>
          </w:p>
        </w:tc>
        <w:tc>
          <w:tcPr>
            <w:tcW w:w="4230" w:type="dxa"/>
            <w:shd w:val="clear" w:color="auto" w:fill="FFFFFF" w:themeFill="background1"/>
          </w:tcPr>
          <w:p w14:paraId="3498112B" w14:textId="77777777" w:rsidR="00F22870" w:rsidRPr="00D226E3" w:rsidRDefault="00F22870" w:rsidP="00477C28">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Calibri"/>
                <w:sz w:val="20"/>
                <w:szCs w:val="20"/>
              </w:rPr>
            </w:pPr>
            <w:r w:rsidRPr="00D226E3">
              <w:rPr>
                <w:rFonts w:cs="Calibri"/>
                <w:sz w:val="20"/>
                <w:szCs w:val="20"/>
              </w:rPr>
              <w:t>Small Business Direct Install</w:t>
            </w:r>
          </w:p>
        </w:tc>
      </w:tr>
      <w:tr w:rsidR="00F22870" w:rsidRPr="00F77544" w14:paraId="2934619A" w14:textId="77777777" w:rsidTr="00D226E3">
        <w:tc>
          <w:tcPr>
            <w:cnfStyle w:val="001000000000" w:firstRow="0" w:lastRow="0" w:firstColumn="1" w:lastColumn="0" w:oddVBand="0" w:evenVBand="0" w:oddHBand="0" w:evenHBand="0" w:firstRowFirstColumn="0" w:firstRowLastColumn="0" w:lastRowFirstColumn="0" w:lastRowLastColumn="0"/>
            <w:tcW w:w="3088" w:type="dxa"/>
            <w:vMerge/>
            <w:shd w:val="clear" w:color="auto" w:fill="FFFFFF" w:themeFill="background1"/>
          </w:tcPr>
          <w:p w14:paraId="0BEA876A" w14:textId="77777777" w:rsidR="00F22870" w:rsidRPr="00D226E3" w:rsidRDefault="00F22870" w:rsidP="00477C28">
            <w:pPr>
              <w:autoSpaceDE w:val="0"/>
              <w:autoSpaceDN w:val="0"/>
              <w:adjustRightInd w:val="0"/>
              <w:spacing w:after="0" w:line="240" w:lineRule="auto"/>
              <w:rPr>
                <w:rFonts w:cs="Calibri"/>
                <w:b w:val="0"/>
                <w:bCs w:val="0"/>
                <w:sz w:val="20"/>
                <w:szCs w:val="20"/>
              </w:rPr>
            </w:pPr>
          </w:p>
        </w:tc>
        <w:tc>
          <w:tcPr>
            <w:tcW w:w="1947" w:type="dxa"/>
            <w:vMerge/>
            <w:shd w:val="clear" w:color="auto" w:fill="FFFFFF" w:themeFill="background1"/>
          </w:tcPr>
          <w:p w14:paraId="3F59AE19" w14:textId="77777777" w:rsidR="00F22870" w:rsidRPr="00D226E3" w:rsidRDefault="00F22870" w:rsidP="00477C28">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230" w:type="dxa"/>
            <w:shd w:val="clear" w:color="auto" w:fill="FFFFFF" w:themeFill="background1"/>
          </w:tcPr>
          <w:p w14:paraId="6E78BE96" w14:textId="77777777" w:rsidR="00F22870" w:rsidRPr="00D226E3" w:rsidRDefault="00F22870" w:rsidP="00477C28">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Calibri"/>
                <w:sz w:val="20"/>
                <w:szCs w:val="20"/>
              </w:rPr>
            </w:pPr>
            <w:r w:rsidRPr="00D226E3">
              <w:rPr>
                <w:rFonts w:cs="Calibri"/>
                <w:sz w:val="20"/>
                <w:szCs w:val="20"/>
              </w:rPr>
              <w:t>Large Commercial New Construction</w:t>
            </w:r>
          </w:p>
        </w:tc>
      </w:tr>
      <w:tr w:rsidR="00F22870" w:rsidRPr="00F77544" w14:paraId="447BDBE3" w14:textId="77777777" w:rsidTr="00D22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8" w:type="dxa"/>
            <w:vMerge/>
            <w:shd w:val="clear" w:color="auto" w:fill="FFFFFF" w:themeFill="background1"/>
          </w:tcPr>
          <w:p w14:paraId="59911401" w14:textId="77777777" w:rsidR="00F22870" w:rsidRPr="00D226E3" w:rsidRDefault="00F22870" w:rsidP="00477C28">
            <w:pPr>
              <w:autoSpaceDE w:val="0"/>
              <w:autoSpaceDN w:val="0"/>
              <w:adjustRightInd w:val="0"/>
              <w:spacing w:after="0" w:line="240" w:lineRule="auto"/>
              <w:rPr>
                <w:rFonts w:cs="Calibri"/>
                <w:b w:val="0"/>
                <w:bCs w:val="0"/>
                <w:sz w:val="20"/>
                <w:szCs w:val="20"/>
              </w:rPr>
            </w:pPr>
          </w:p>
        </w:tc>
        <w:tc>
          <w:tcPr>
            <w:tcW w:w="1947" w:type="dxa"/>
            <w:vMerge/>
            <w:shd w:val="clear" w:color="auto" w:fill="FFFFFF" w:themeFill="background1"/>
          </w:tcPr>
          <w:p w14:paraId="2DB95A02" w14:textId="77777777" w:rsidR="00F22870" w:rsidRPr="00D226E3" w:rsidRDefault="00F22870" w:rsidP="00477C28">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230" w:type="dxa"/>
            <w:shd w:val="clear" w:color="auto" w:fill="FFFFFF" w:themeFill="background1"/>
          </w:tcPr>
          <w:p w14:paraId="3ABECAEE" w14:textId="77777777" w:rsidR="00F22870" w:rsidRPr="00D226E3" w:rsidRDefault="00F22870" w:rsidP="00477C28">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Calibri"/>
                <w:sz w:val="20"/>
                <w:szCs w:val="20"/>
              </w:rPr>
            </w:pPr>
            <w:r w:rsidRPr="00D226E3">
              <w:rPr>
                <w:rFonts w:cs="Calibri"/>
                <w:sz w:val="20"/>
                <w:szCs w:val="20"/>
              </w:rPr>
              <w:t>Large Commercial Retrofit</w:t>
            </w:r>
          </w:p>
        </w:tc>
      </w:tr>
      <w:tr w:rsidR="00F22870" w:rsidRPr="00F77544" w14:paraId="71EF5E45" w14:textId="77777777" w:rsidTr="00D226E3">
        <w:tc>
          <w:tcPr>
            <w:cnfStyle w:val="001000000000" w:firstRow="0" w:lastRow="0" w:firstColumn="1" w:lastColumn="0" w:oddVBand="0" w:evenVBand="0" w:oddHBand="0" w:evenHBand="0" w:firstRowFirstColumn="0" w:firstRowLastColumn="0" w:lastRowFirstColumn="0" w:lastRowLastColumn="0"/>
            <w:tcW w:w="3088" w:type="dxa"/>
            <w:vMerge w:val="restart"/>
            <w:shd w:val="clear" w:color="auto" w:fill="FFFFFF" w:themeFill="background1"/>
          </w:tcPr>
          <w:p w14:paraId="5EAF5B9F" w14:textId="77777777" w:rsidR="00F22870" w:rsidRPr="00D226E3" w:rsidRDefault="00F22870" w:rsidP="00477C28">
            <w:pPr>
              <w:autoSpaceDE w:val="0"/>
              <w:autoSpaceDN w:val="0"/>
              <w:adjustRightInd w:val="0"/>
              <w:spacing w:after="0" w:line="240" w:lineRule="auto"/>
              <w:rPr>
                <w:rFonts w:cs="Calibri"/>
                <w:b w:val="0"/>
                <w:bCs w:val="0"/>
                <w:sz w:val="20"/>
                <w:szCs w:val="20"/>
              </w:rPr>
            </w:pPr>
            <w:r w:rsidRPr="00D226E3">
              <w:rPr>
                <w:rFonts w:cs="Calibri"/>
                <w:sz w:val="20"/>
                <w:szCs w:val="20"/>
              </w:rPr>
              <w:t>Large Commercial</w:t>
            </w:r>
          </w:p>
        </w:tc>
        <w:tc>
          <w:tcPr>
            <w:tcW w:w="1947" w:type="dxa"/>
            <w:vMerge w:val="restart"/>
            <w:shd w:val="clear" w:color="auto" w:fill="FFFFFF" w:themeFill="background1"/>
          </w:tcPr>
          <w:p w14:paraId="085AB988" w14:textId="77777777" w:rsidR="00F22870" w:rsidRPr="00D226E3" w:rsidRDefault="00F22870" w:rsidP="00477C28">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D226E3">
              <w:rPr>
                <w:rFonts w:cs="Calibri"/>
                <w:sz w:val="20"/>
                <w:szCs w:val="20"/>
              </w:rPr>
              <w:t>G-32, G-62</w:t>
            </w:r>
          </w:p>
        </w:tc>
        <w:tc>
          <w:tcPr>
            <w:tcW w:w="4230" w:type="dxa"/>
            <w:shd w:val="clear" w:color="auto" w:fill="FFFFFF" w:themeFill="background1"/>
          </w:tcPr>
          <w:p w14:paraId="1B8C56EC" w14:textId="77777777" w:rsidR="00F22870" w:rsidRPr="00D226E3" w:rsidRDefault="00F22870" w:rsidP="00477C28">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Calibri"/>
                <w:sz w:val="20"/>
                <w:szCs w:val="20"/>
              </w:rPr>
            </w:pPr>
            <w:r w:rsidRPr="00D226E3">
              <w:rPr>
                <w:rFonts w:cs="Calibri"/>
                <w:sz w:val="20"/>
                <w:szCs w:val="20"/>
              </w:rPr>
              <w:t>Small Business Direct Install</w:t>
            </w:r>
          </w:p>
        </w:tc>
      </w:tr>
      <w:tr w:rsidR="00F22870" w:rsidRPr="00F77544" w14:paraId="21E236D8" w14:textId="77777777" w:rsidTr="00D22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8" w:type="dxa"/>
            <w:vMerge/>
            <w:shd w:val="clear" w:color="auto" w:fill="FFFFFF" w:themeFill="background1"/>
          </w:tcPr>
          <w:p w14:paraId="0700624C" w14:textId="77777777" w:rsidR="00F22870" w:rsidRPr="00D226E3" w:rsidRDefault="00F22870" w:rsidP="00477C28">
            <w:pPr>
              <w:autoSpaceDE w:val="0"/>
              <w:autoSpaceDN w:val="0"/>
              <w:adjustRightInd w:val="0"/>
              <w:spacing w:after="0" w:line="240" w:lineRule="auto"/>
              <w:jc w:val="both"/>
              <w:rPr>
                <w:rFonts w:cs="Calibri"/>
                <w:b w:val="0"/>
                <w:bCs w:val="0"/>
                <w:sz w:val="20"/>
                <w:szCs w:val="20"/>
              </w:rPr>
            </w:pPr>
          </w:p>
        </w:tc>
        <w:tc>
          <w:tcPr>
            <w:tcW w:w="1947" w:type="dxa"/>
            <w:vMerge/>
            <w:shd w:val="clear" w:color="auto" w:fill="FFFFFF" w:themeFill="background1"/>
          </w:tcPr>
          <w:p w14:paraId="34C7C05F" w14:textId="77777777" w:rsidR="00F22870" w:rsidRPr="00D226E3" w:rsidRDefault="00F22870" w:rsidP="00477C28">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230" w:type="dxa"/>
            <w:shd w:val="clear" w:color="auto" w:fill="FFFFFF" w:themeFill="background1"/>
          </w:tcPr>
          <w:p w14:paraId="6E2BD047" w14:textId="77777777" w:rsidR="00F22870" w:rsidRPr="00D226E3" w:rsidRDefault="00F22870" w:rsidP="00477C28">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Calibri"/>
                <w:sz w:val="20"/>
                <w:szCs w:val="20"/>
              </w:rPr>
            </w:pPr>
            <w:r w:rsidRPr="00D226E3">
              <w:rPr>
                <w:rFonts w:cs="Calibri"/>
                <w:sz w:val="20"/>
                <w:szCs w:val="20"/>
              </w:rPr>
              <w:t>Large Commercial New Construction</w:t>
            </w:r>
          </w:p>
        </w:tc>
      </w:tr>
      <w:tr w:rsidR="00F22870" w:rsidRPr="00F77544" w14:paraId="3378A31B" w14:textId="77777777" w:rsidTr="00D226E3">
        <w:tc>
          <w:tcPr>
            <w:cnfStyle w:val="001000000000" w:firstRow="0" w:lastRow="0" w:firstColumn="1" w:lastColumn="0" w:oddVBand="0" w:evenVBand="0" w:oddHBand="0" w:evenHBand="0" w:firstRowFirstColumn="0" w:firstRowLastColumn="0" w:lastRowFirstColumn="0" w:lastRowLastColumn="0"/>
            <w:tcW w:w="3088" w:type="dxa"/>
            <w:vMerge/>
            <w:shd w:val="clear" w:color="auto" w:fill="FFFFFF" w:themeFill="background1"/>
          </w:tcPr>
          <w:p w14:paraId="7E5ECA77" w14:textId="77777777" w:rsidR="00F22870" w:rsidRPr="00D226E3" w:rsidRDefault="00F22870" w:rsidP="00477C28">
            <w:pPr>
              <w:autoSpaceDE w:val="0"/>
              <w:autoSpaceDN w:val="0"/>
              <w:adjustRightInd w:val="0"/>
              <w:spacing w:after="0" w:line="240" w:lineRule="auto"/>
              <w:jc w:val="both"/>
              <w:rPr>
                <w:rFonts w:cs="Calibri"/>
                <w:b w:val="0"/>
                <w:bCs w:val="0"/>
                <w:sz w:val="20"/>
                <w:szCs w:val="20"/>
              </w:rPr>
            </w:pPr>
          </w:p>
        </w:tc>
        <w:tc>
          <w:tcPr>
            <w:tcW w:w="1947" w:type="dxa"/>
            <w:vMerge/>
            <w:shd w:val="clear" w:color="auto" w:fill="FFFFFF" w:themeFill="background1"/>
          </w:tcPr>
          <w:p w14:paraId="158A3ACF" w14:textId="77777777" w:rsidR="00F22870" w:rsidRPr="00D226E3" w:rsidRDefault="00F22870" w:rsidP="00477C28">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230" w:type="dxa"/>
            <w:shd w:val="clear" w:color="auto" w:fill="FFFFFF" w:themeFill="background1"/>
          </w:tcPr>
          <w:p w14:paraId="72FEC92C" w14:textId="77777777" w:rsidR="00F22870" w:rsidRPr="00D226E3" w:rsidRDefault="00F22870" w:rsidP="00477C28">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Calibri"/>
                <w:sz w:val="20"/>
                <w:szCs w:val="20"/>
              </w:rPr>
            </w:pPr>
            <w:r w:rsidRPr="00D226E3">
              <w:rPr>
                <w:rFonts w:cs="Calibri"/>
                <w:sz w:val="20"/>
                <w:szCs w:val="20"/>
              </w:rPr>
              <w:t>Large Commercial Retrofit</w:t>
            </w:r>
          </w:p>
        </w:tc>
      </w:tr>
    </w:tbl>
    <w:p w14:paraId="3616220B" w14:textId="77777777" w:rsidR="00F22870" w:rsidRDefault="00F22870" w:rsidP="00F22870">
      <w:pPr>
        <w:autoSpaceDE w:val="0"/>
        <w:autoSpaceDN w:val="0"/>
        <w:adjustRightInd w:val="0"/>
        <w:spacing w:after="0" w:line="240" w:lineRule="auto"/>
        <w:jc w:val="both"/>
        <w:rPr>
          <w:rFonts w:cs="Calibri"/>
          <w:sz w:val="24"/>
          <w:szCs w:val="24"/>
        </w:rPr>
      </w:pPr>
    </w:p>
    <w:p w14:paraId="5F3118DA" w14:textId="0F00449C" w:rsidR="008F1075" w:rsidRPr="00DB2F1D" w:rsidRDefault="00AB32D3" w:rsidP="00DB2F1D">
      <w:pPr>
        <w:autoSpaceDE w:val="0"/>
        <w:autoSpaceDN w:val="0"/>
        <w:adjustRightInd w:val="0"/>
        <w:jc w:val="both"/>
        <w:rPr>
          <w:rFonts w:cs="Calibri"/>
        </w:rPr>
      </w:pPr>
      <w:r>
        <w:rPr>
          <w:rFonts w:cs="Calibri"/>
        </w:rPr>
        <w:t>A</w:t>
      </w:r>
      <w:r w:rsidR="008F1075">
        <w:rPr>
          <w:rFonts w:cs="Calibri"/>
        </w:rPr>
        <w:t xml:space="preserve">nnual savings and participants reflect the phasing-out of individual programs. For example, </w:t>
      </w:r>
      <w:proofErr w:type="gramStart"/>
      <w:r w:rsidR="008F1075">
        <w:rPr>
          <w:rFonts w:cs="Calibri"/>
        </w:rPr>
        <w:t>HERs</w:t>
      </w:r>
      <w:proofErr w:type="gramEnd"/>
      <w:r w:rsidR="008F1075">
        <w:rPr>
          <w:rFonts w:cs="Calibri"/>
        </w:rPr>
        <w:t xml:space="preserve"> is a one-year program that only covers 202</w:t>
      </w:r>
      <w:r w:rsidR="00D1580A">
        <w:rPr>
          <w:rFonts w:cs="Calibri"/>
        </w:rPr>
        <w:t>4</w:t>
      </w:r>
      <w:r w:rsidR="008F1075">
        <w:rPr>
          <w:rFonts w:cs="Calibri"/>
        </w:rPr>
        <w:t>. The savings and participants attributed to HERs are removed from annual savings and participants calculations starting in 2024.</w:t>
      </w:r>
      <w:r>
        <w:rPr>
          <w:rFonts w:cs="Calibri"/>
        </w:rPr>
        <w:t xml:space="preserve"> </w:t>
      </w:r>
      <w:r w:rsidR="00DB2F1D">
        <w:rPr>
          <w:rFonts w:cs="Calibri"/>
        </w:rPr>
        <w:t>L</w:t>
      </w:r>
      <w:r w:rsidR="008F1075">
        <w:rPr>
          <w:rFonts w:cs="Calibri"/>
        </w:rPr>
        <w:t>ong-term average changes in rates and bills include zero and non-zero values in the 20-year study period (202</w:t>
      </w:r>
      <w:r w:rsidR="00D1580A">
        <w:rPr>
          <w:rFonts w:cs="Calibri"/>
        </w:rPr>
        <w:t>4</w:t>
      </w:r>
      <w:r w:rsidR="008F1075">
        <w:rPr>
          <w:rFonts w:cs="Calibri"/>
        </w:rPr>
        <w:t>-204</w:t>
      </w:r>
      <w:r w:rsidR="00D1580A">
        <w:rPr>
          <w:rFonts w:cs="Calibri"/>
        </w:rPr>
        <w:t>3</w:t>
      </w:r>
      <w:r w:rsidR="008F1075">
        <w:rPr>
          <w:rFonts w:cs="Calibri"/>
        </w:rPr>
        <w:t>).</w:t>
      </w:r>
      <w:r w:rsidR="00DB2F1D">
        <w:rPr>
          <w:rFonts w:cs="Calibri"/>
        </w:rPr>
        <w:t xml:space="preserve"> </w:t>
      </w:r>
      <w:r w:rsidR="008F1075" w:rsidRPr="00B673D0">
        <w:t>Bills are calculated based on average annual consumption of a typical customer in Rhode Island in each class, using the values in</w:t>
      </w:r>
      <w:r w:rsidR="008F1075">
        <w:t xml:space="preserve"> Table 2</w:t>
      </w:r>
      <w:r w:rsidR="008F1075" w:rsidRPr="00B673D0">
        <w:t>.</w:t>
      </w:r>
    </w:p>
    <w:p w14:paraId="08B84695" w14:textId="40AF9BBB" w:rsidR="008F1075" w:rsidRPr="00793230" w:rsidRDefault="008F1075" w:rsidP="00793230">
      <w:pPr>
        <w:pStyle w:val="Caption"/>
        <w:keepNext/>
        <w:rPr>
          <w:rFonts w:cs="Calibri"/>
          <w:color w:val="4F81BD"/>
          <w:sz w:val="22"/>
          <w:szCs w:val="22"/>
        </w:rPr>
      </w:pPr>
      <w:r w:rsidRPr="00793230">
        <w:rPr>
          <w:rFonts w:cs="Calibri"/>
          <w:color w:val="4F81BD"/>
          <w:sz w:val="22"/>
          <w:szCs w:val="22"/>
        </w:rPr>
        <w:t xml:space="preserve">Table </w:t>
      </w:r>
      <w:r w:rsidRPr="00793230">
        <w:rPr>
          <w:rFonts w:cs="Calibri"/>
          <w:color w:val="4F81BD"/>
          <w:sz w:val="22"/>
          <w:szCs w:val="22"/>
        </w:rPr>
        <w:fldChar w:fldCharType="begin"/>
      </w:r>
      <w:r w:rsidRPr="00793230">
        <w:rPr>
          <w:rFonts w:cs="Calibri"/>
          <w:color w:val="4F81BD"/>
          <w:sz w:val="22"/>
          <w:szCs w:val="22"/>
        </w:rPr>
        <w:instrText>SEQ Table \* ARABIC</w:instrText>
      </w:r>
      <w:r w:rsidRPr="00793230">
        <w:rPr>
          <w:rFonts w:cs="Calibri"/>
          <w:color w:val="4F81BD"/>
          <w:sz w:val="22"/>
          <w:szCs w:val="22"/>
        </w:rPr>
        <w:fldChar w:fldCharType="separate"/>
      </w:r>
      <w:r w:rsidR="00F573DA" w:rsidRPr="00793230">
        <w:rPr>
          <w:rFonts w:cs="Calibri"/>
          <w:color w:val="4F81BD"/>
          <w:sz w:val="22"/>
          <w:szCs w:val="22"/>
        </w:rPr>
        <w:t>2</w:t>
      </w:r>
      <w:r w:rsidRPr="00793230">
        <w:rPr>
          <w:rFonts w:cs="Calibri"/>
          <w:color w:val="4F81BD"/>
          <w:sz w:val="22"/>
          <w:szCs w:val="22"/>
        </w:rPr>
        <w:fldChar w:fldCharType="end"/>
      </w:r>
      <w:r w:rsidRPr="00793230">
        <w:rPr>
          <w:rFonts w:cs="Calibri"/>
          <w:color w:val="4F81BD"/>
          <w:sz w:val="22"/>
          <w:szCs w:val="22"/>
        </w:rPr>
        <w:t>. Average Annual Consumption per Customer in Modeled Customer Classes</w:t>
      </w:r>
      <w:r w:rsidRPr="00793230">
        <w:rPr>
          <w:rFonts w:cs="Calibri"/>
          <w:color w:val="4F81BD"/>
          <w:sz w:val="22"/>
          <w:szCs w:val="22"/>
          <w:vertAlign w:val="superscript"/>
        </w:rPr>
        <w:footnoteReference w:id="5"/>
      </w:r>
    </w:p>
    <w:tbl>
      <w:tblPr>
        <w:tblStyle w:val="GridTable4-Accent1"/>
        <w:tblW w:w="9582" w:type="dxa"/>
        <w:tblLayout w:type="fixed"/>
        <w:tblLook w:val="04A0" w:firstRow="1" w:lastRow="0" w:firstColumn="1" w:lastColumn="0" w:noHBand="0" w:noVBand="1"/>
      </w:tblPr>
      <w:tblGrid>
        <w:gridCol w:w="4791"/>
        <w:gridCol w:w="4791"/>
      </w:tblGrid>
      <w:tr w:rsidR="008F1075" w:rsidRPr="003D0109" w14:paraId="30608122" w14:textId="77777777" w:rsidTr="00D226E3">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4791" w:type="dxa"/>
            <w:noWrap/>
          </w:tcPr>
          <w:p w14:paraId="2078711C" w14:textId="77777777" w:rsidR="008F1075" w:rsidRPr="00D226E3" w:rsidRDefault="008F1075" w:rsidP="00246FAE">
            <w:pPr>
              <w:keepNext/>
              <w:spacing w:after="0" w:line="240" w:lineRule="auto"/>
              <w:rPr>
                <w:rFonts w:eastAsia="Times New Roman" w:cs="Arial"/>
                <w:b w:val="0"/>
                <w:sz w:val="20"/>
                <w:lang w:eastAsia="en-US"/>
              </w:rPr>
            </w:pPr>
            <w:r w:rsidRPr="00D226E3">
              <w:rPr>
                <w:rFonts w:eastAsia="Times New Roman" w:cs="Arial"/>
                <w:sz w:val="20"/>
                <w:lang w:eastAsia="en-US"/>
              </w:rPr>
              <w:t>Modeled Customer Class</w:t>
            </w:r>
          </w:p>
        </w:tc>
        <w:tc>
          <w:tcPr>
            <w:tcW w:w="4791" w:type="dxa"/>
          </w:tcPr>
          <w:p w14:paraId="479814BD" w14:textId="65F7C94A" w:rsidR="008F1075" w:rsidRPr="00D226E3" w:rsidRDefault="008F1075" w:rsidP="00246FAE">
            <w:pPr>
              <w:keepNext/>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lang w:eastAsia="en-US"/>
              </w:rPr>
            </w:pPr>
            <w:r w:rsidRPr="00D226E3">
              <w:rPr>
                <w:rFonts w:eastAsia="Times New Roman" w:cs="Arial"/>
                <w:sz w:val="20"/>
                <w:lang w:eastAsia="en-US"/>
              </w:rPr>
              <w:t>Average Annual Per-Customer Consumption (kWh/year)</w:t>
            </w:r>
          </w:p>
        </w:tc>
      </w:tr>
      <w:tr w:rsidR="008F1075" w:rsidRPr="003D0109" w14:paraId="35A0FB1E" w14:textId="77777777" w:rsidTr="00D226E3">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4791" w:type="dxa"/>
            <w:shd w:val="clear" w:color="auto" w:fill="FFFFFF" w:themeFill="background1"/>
            <w:noWrap/>
          </w:tcPr>
          <w:p w14:paraId="0146D377" w14:textId="77777777" w:rsidR="008F1075" w:rsidRPr="00D226E3" w:rsidRDefault="008F1075" w:rsidP="00246FAE">
            <w:pPr>
              <w:spacing w:after="0"/>
              <w:rPr>
                <w:rFonts w:eastAsia="Times New Roman" w:cs="Arial"/>
                <w:b w:val="0"/>
                <w:bCs w:val="0"/>
                <w:sz w:val="20"/>
                <w:lang w:eastAsia="en-US"/>
              </w:rPr>
            </w:pPr>
            <w:r w:rsidRPr="00D226E3">
              <w:rPr>
                <w:sz w:val="20"/>
              </w:rPr>
              <w:t>Residential (A-16) All Programs</w:t>
            </w:r>
          </w:p>
        </w:tc>
        <w:tc>
          <w:tcPr>
            <w:tcW w:w="4791" w:type="dxa"/>
            <w:shd w:val="clear" w:color="auto" w:fill="FFFFFF" w:themeFill="background1"/>
          </w:tcPr>
          <w:p w14:paraId="152B351B" w14:textId="58716CAA" w:rsidR="008F1075" w:rsidRPr="00D226E3" w:rsidRDefault="004E4762" w:rsidP="00246FA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lang w:eastAsia="en-US"/>
              </w:rPr>
            </w:pPr>
            <w:r w:rsidRPr="00D226E3">
              <w:rPr>
                <w:rFonts w:eastAsia="Times New Roman" w:cs="Arial"/>
                <w:sz w:val="20"/>
                <w:lang w:eastAsia="en-US"/>
              </w:rPr>
              <w:t>6,</w:t>
            </w:r>
            <w:r w:rsidR="001201DE">
              <w:rPr>
                <w:rFonts w:eastAsia="Times New Roman" w:cs="Arial"/>
                <w:sz w:val="20"/>
                <w:lang w:eastAsia="en-US"/>
              </w:rPr>
              <w:t>872</w:t>
            </w:r>
          </w:p>
        </w:tc>
      </w:tr>
      <w:tr w:rsidR="008F1075" w:rsidRPr="003D0109" w14:paraId="0E5E9531" w14:textId="77777777" w:rsidTr="00D226E3">
        <w:trPr>
          <w:trHeight w:val="22"/>
        </w:trPr>
        <w:tc>
          <w:tcPr>
            <w:cnfStyle w:val="001000000000" w:firstRow="0" w:lastRow="0" w:firstColumn="1" w:lastColumn="0" w:oddVBand="0" w:evenVBand="0" w:oddHBand="0" w:evenHBand="0" w:firstRowFirstColumn="0" w:firstRowLastColumn="0" w:lastRowFirstColumn="0" w:lastRowLastColumn="0"/>
            <w:tcW w:w="4791" w:type="dxa"/>
            <w:shd w:val="clear" w:color="auto" w:fill="FFFFFF" w:themeFill="background1"/>
            <w:noWrap/>
          </w:tcPr>
          <w:p w14:paraId="7BCE769D" w14:textId="77777777" w:rsidR="008F1075" w:rsidRPr="00D226E3" w:rsidRDefault="008F1075" w:rsidP="00246FAE">
            <w:pPr>
              <w:spacing w:after="0"/>
              <w:rPr>
                <w:rFonts w:eastAsia="Times New Roman" w:cs="Arial"/>
                <w:b w:val="0"/>
                <w:bCs w:val="0"/>
                <w:sz w:val="20"/>
                <w:lang w:eastAsia="en-US"/>
              </w:rPr>
            </w:pPr>
            <w:r w:rsidRPr="00D226E3">
              <w:rPr>
                <w:sz w:val="20"/>
              </w:rPr>
              <w:t>Income Eligible (A-60) All Programs</w:t>
            </w:r>
          </w:p>
        </w:tc>
        <w:tc>
          <w:tcPr>
            <w:tcW w:w="4791" w:type="dxa"/>
            <w:shd w:val="clear" w:color="auto" w:fill="FFFFFF" w:themeFill="background1"/>
            <w:noWrap/>
          </w:tcPr>
          <w:p w14:paraId="3AA95CEC" w14:textId="01F280E3" w:rsidR="008F1075" w:rsidRPr="00D226E3" w:rsidRDefault="00102012" w:rsidP="00246FA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lang w:eastAsia="en-US"/>
              </w:rPr>
            </w:pPr>
            <w:r w:rsidRPr="00D226E3">
              <w:rPr>
                <w:rFonts w:eastAsia="Times New Roman" w:cs="Arial"/>
                <w:sz w:val="20"/>
                <w:lang w:eastAsia="en-US"/>
              </w:rPr>
              <w:t>5,</w:t>
            </w:r>
            <w:r w:rsidR="005C7913">
              <w:rPr>
                <w:rFonts w:eastAsia="Times New Roman" w:cs="Arial"/>
                <w:sz w:val="20"/>
                <w:lang w:eastAsia="en-US"/>
              </w:rPr>
              <w:t>776</w:t>
            </w:r>
          </w:p>
        </w:tc>
      </w:tr>
      <w:tr w:rsidR="008F1075" w:rsidRPr="003D0109" w14:paraId="4ABE1E8A" w14:textId="77777777" w:rsidTr="00D226E3">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4791" w:type="dxa"/>
            <w:shd w:val="clear" w:color="auto" w:fill="FFFFFF" w:themeFill="background1"/>
            <w:noWrap/>
          </w:tcPr>
          <w:p w14:paraId="5D8E28E7" w14:textId="77777777" w:rsidR="008F1075" w:rsidRPr="00D226E3" w:rsidRDefault="008F1075" w:rsidP="00246FAE">
            <w:pPr>
              <w:spacing w:after="0"/>
              <w:rPr>
                <w:rFonts w:eastAsia="Times New Roman" w:cs="Arial"/>
                <w:b w:val="0"/>
                <w:bCs w:val="0"/>
                <w:sz w:val="20"/>
                <w:lang w:eastAsia="en-US"/>
              </w:rPr>
            </w:pPr>
            <w:r w:rsidRPr="00D226E3">
              <w:rPr>
                <w:sz w:val="20"/>
              </w:rPr>
              <w:t>Small C&amp;I (C-06)</w:t>
            </w:r>
          </w:p>
        </w:tc>
        <w:tc>
          <w:tcPr>
            <w:tcW w:w="4791" w:type="dxa"/>
            <w:shd w:val="clear" w:color="auto" w:fill="FFFFFF" w:themeFill="background1"/>
            <w:noWrap/>
          </w:tcPr>
          <w:p w14:paraId="31C41749" w14:textId="76AFCEBD" w:rsidR="008F1075" w:rsidRPr="00D226E3" w:rsidRDefault="00986C40" w:rsidP="00246FA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lang w:eastAsia="en-US"/>
              </w:rPr>
            </w:pPr>
            <w:r w:rsidRPr="00D226E3">
              <w:rPr>
                <w:rFonts w:eastAsia="Times New Roman" w:cs="Arial"/>
                <w:sz w:val="20"/>
                <w:lang w:eastAsia="en-US"/>
              </w:rPr>
              <w:t>3</w:t>
            </w:r>
            <w:r w:rsidR="005C7913">
              <w:rPr>
                <w:rFonts w:eastAsia="Times New Roman" w:cs="Arial"/>
                <w:sz w:val="20"/>
                <w:lang w:eastAsia="en-US"/>
              </w:rPr>
              <w:t>7</w:t>
            </w:r>
            <w:r w:rsidRPr="00D226E3">
              <w:rPr>
                <w:rFonts w:eastAsia="Times New Roman" w:cs="Arial"/>
                <w:sz w:val="20"/>
                <w:lang w:eastAsia="en-US"/>
              </w:rPr>
              <w:t>,</w:t>
            </w:r>
            <w:r w:rsidR="005C7913">
              <w:rPr>
                <w:rFonts w:eastAsia="Times New Roman" w:cs="Arial"/>
                <w:sz w:val="20"/>
                <w:lang w:eastAsia="en-US"/>
              </w:rPr>
              <w:t>402</w:t>
            </w:r>
          </w:p>
        </w:tc>
      </w:tr>
      <w:tr w:rsidR="008F1075" w:rsidRPr="003D0109" w14:paraId="47C75418" w14:textId="77777777" w:rsidTr="00D226E3">
        <w:trPr>
          <w:trHeight w:val="22"/>
        </w:trPr>
        <w:tc>
          <w:tcPr>
            <w:cnfStyle w:val="001000000000" w:firstRow="0" w:lastRow="0" w:firstColumn="1" w:lastColumn="0" w:oddVBand="0" w:evenVBand="0" w:oddHBand="0" w:evenHBand="0" w:firstRowFirstColumn="0" w:firstRowLastColumn="0" w:lastRowFirstColumn="0" w:lastRowLastColumn="0"/>
            <w:tcW w:w="4791" w:type="dxa"/>
            <w:shd w:val="clear" w:color="auto" w:fill="FFFFFF" w:themeFill="background1"/>
            <w:noWrap/>
          </w:tcPr>
          <w:p w14:paraId="7AA677DC" w14:textId="77777777" w:rsidR="008F1075" w:rsidRPr="00D226E3" w:rsidRDefault="008F1075" w:rsidP="00246FAE">
            <w:pPr>
              <w:spacing w:after="0"/>
              <w:rPr>
                <w:rFonts w:eastAsia="Times New Roman" w:cs="Arial"/>
                <w:b w:val="0"/>
                <w:bCs w:val="0"/>
                <w:sz w:val="20"/>
                <w:lang w:eastAsia="en-US"/>
              </w:rPr>
            </w:pPr>
            <w:r w:rsidRPr="00D226E3">
              <w:rPr>
                <w:sz w:val="20"/>
              </w:rPr>
              <w:t>Medium C&amp;I (G-02)</w:t>
            </w:r>
          </w:p>
        </w:tc>
        <w:tc>
          <w:tcPr>
            <w:tcW w:w="4791" w:type="dxa"/>
            <w:shd w:val="clear" w:color="auto" w:fill="FFFFFF" w:themeFill="background1"/>
            <w:noWrap/>
          </w:tcPr>
          <w:p w14:paraId="5F512A0E" w14:textId="36684096" w:rsidR="008F1075" w:rsidRPr="00D226E3" w:rsidRDefault="00DB100D" w:rsidP="00246FA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lang w:eastAsia="en-US"/>
              </w:rPr>
            </w:pPr>
            <w:r w:rsidRPr="00D226E3">
              <w:rPr>
                <w:rFonts w:eastAsia="Times New Roman" w:cs="Arial"/>
                <w:sz w:val="20"/>
                <w:lang w:eastAsia="en-US"/>
              </w:rPr>
              <w:t>17</w:t>
            </w:r>
            <w:r w:rsidR="005C7913">
              <w:rPr>
                <w:rFonts w:eastAsia="Times New Roman" w:cs="Arial"/>
                <w:sz w:val="20"/>
                <w:lang w:eastAsia="en-US"/>
              </w:rPr>
              <w:t>7</w:t>
            </w:r>
            <w:r w:rsidRPr="00D226E3">
              <w:rPr>
                <w:rFonts w:eastAsia="Times New Roman" w:cs="Arial"/>
                <w:sz w:val="20"/>
                <w:lang w:eastAsia="en-US"/>
              </w:rPr>
              <w:t>,</w:t>
            </w:r>
            <w:r w:rsidR="005C7913">
              <w:rPr>
                <w:rFonts w:eastAsia="Times New Roman" w:cs="Arial"/>
                <w:sz w:val="20"/>
                <w:lang w:eastAsia="en-US"/>
              </w:rPr>
              <w:t>350</w:t>
            </w:r>
          </w:p>
        </w:tc>
      </w:tr>
      <w:tr w:rsidR="008F1075" w:rsidRPr="003D0109" w14:paraId="75C3C094" w14:textId="77777777" w:rsidTr="00D226E3">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4791" w:type="dxa"/>
            <w:shd w:val="clear" w:color="auto" w:fill="FFFFFF" w:themeFill="background1"/>
            <w:noWrap/>
          </w:tcPr>
          <w:p w14:paraId="44F203F8" w14:textId="77777777" w:rsidR="008F1075" w:rsidRPr="00D226E3" w:rsidRDefault="008F1075" w:rsidP="00246FAE">
            <w:pPr>
              <w:spacing w:after="0"/>
              <w:rPr>
                <w:rFonts w:eastAsia="Times New Roman" w:cs="Arial"/>
                <w:b w:val="0"/>
                <w:bCs w:val="0"/>
                <w:sz w:val="20"/>
                <w:lang w:eastAsia="en-US"/>
              </w:rPr>
            </w:pPr>
            <w:r w:rsidRPr="00D226E3">
              <w:rPr>
                <w:sz w:val="20"/>
              </w:rPr>
              <w:t>Large C&amp;I (G-32 and G-62)</w:t>
            </w:r>
          </w:p>
        </w:tc>
        <w:tc>
          <w:tcPr>
            <w:tcW w:w="4791" w:type="dxa"/>
            <w:shd w:val="clear" w:color="auto" w:fill="FFFFFF" w:themeFill="background1"/>
            <w:noWrap/>
          </w:tcPr>
          <w:p w14:paraId="138F267A" w14:textId="45A69A83" w:rsidR="008F1075" w:rsidRPr="00D226E3" w:rsidRDefault="005C7913" w:rsidP="00246FA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lang w:eastAsia="en-US"/>
              </w:rPr>
            </w:pPr>
            <w:r>
              <w:rPr>
                <w:rFonts w:eastAsia="Times New Roman" w:cs="Arial"/>
                <w:sz w:val="20"/>
                <w:lang w:eastAsia="en-US"/>
              </w:rPr>
              <w:t>5</w:t>
            </w:r>
            <w:r w:rsidR="00422A69" w:rsidRPr="00D226E3">
              <w:rPr>
                <w:rFonts w:eastAsia="Times New Roman" w:cs="Arial"/>
                <w:sz w:val="20"/>
                <w:lang w:eastAsia="en-US"/>
              </w:rPr>
              <w:t>,</w:t>
            </w:r>
            <w:r>
              <w:rPr>
                <w:rFonts w:eastAsia="Times New Roman" w:cs="Arial"/>
                <w:sz w:val="20"/>
                <w:lang w:eastAsia="en-US"/>
              </w:rPr>
              <w:t>062</w:t>
            </w:r>
            <w:r w:rsidR="00422A69" w:rsidRPr="00D226E3">
              <w:rPr>
                <w:rFonts w:eastAsia="Times New Roman" w:cs="Arial"/>
                <w:sz w:val="20"/>
                <w:lang w:eastAsia="en-US"/>
              </w:rPr>
              <w:t>,</w:t>
            </w:r>
            <w:r w:rsidR="00A6650D">
              <w:rPr>
                <w:rFonts w:eastAsia="Times New Roman" w:cs="Arial"/>
                <w:sz w:val="20"/>
                <w:lang w:eastAsia="en-US"/>
              </w:rPr>
              <w:t>434</w:t>
            </w:r>
          </w:p>
        </w:tc>
      </w:tr>
    </w:tbl>
    <w:p w14:paraId="538B7365" w14:textId="77777777" w:rsidR="008F1075" w:rsidRDefault="008F1075" w:rsidP="00F22870">
      <w:pPr>
        <w:autoSpaceDE w:val="0"/>
        <w:autoSpaceDN w:val="0"/>
        <w:adjustRightInd w:val="0"/>
        <w:spacing w:after="0" w:line="240" w:lineRule="auto"/>
        <w:jc w:val="both"/>
        <w:rPr>
          <w:rFonts w:cs="Calibri"/>
          <w:sz w:val="24"/>
          <w:szCs w:val="24"/>
        </w:rPr>
      </w:pPr>
    </w:p>
    <w:p w14:paraId="1484A074" w14:textId="77777777" w:rsidR="008F1075" w:rsidRPr="004C53D8" w:rsidRDefault="008F1075" w:rsidP="00F22870">
      <w:pPr>
        <w:autoSpaceDE w:val="0"/>
        <w:autoSpaceDN w:val="0"/>
        <w:adjustRightInd w:val="0"/>
        <w:spacing w:after="0" w:line="240" w:lineRule="auto"/>
        <w:jc w:val="both"/>
        <w:rPr>
          <w:rFonts w:cs="Calibri"/>
          <w:sz w:val="24"/>
          <w:szCs w:val="24"/>
        </w:rPr>
      </w:pPr>
    </w:p>
    <w:p w14:paraId="0A24D4AB" w14:textId="77777777" w:rsidR="00F22870" w:rsidRPr="004C53D8" w:rsidRDefault="00F22870" w:rsidP="00F22870">
      <w:pPr>
        <w:pStyle w:val="Heading2"/>
      </w:pPr>
      <w:bookmarkStart w:id="4" w:name="_Toc115442339"/>
      <w:r>
        <w:t>Discussion and Interpretation of Electric Results</w:t>
      </w:r>
      <w:bookmarkEnd w:id="4"/>
      <w:r w:rsidRPr="004C53D8">
        <w:t xml:space="preserve"> </w:t>
      </w:r>
    </w:p>
    <w:p w14:paraId="41FF6156" w14:textId="61ABEA8B" w:rsidR="00F22870" w:rsidRPr="00B673D0" w:rsidRDefault="00F22870" w:rsidP="00F22870">
      <w:pPr>
        <w:autoSpaceDE w:val="0"/>
        <w:autoSpaceDN w:val="0"/>
        <w:adjustRightInd w:val="0"/>
        <w:jc w:val="both"/>
        <w:rPr>
          <w:rFonts w:cs="Calibri"/>
        </w:rPr>
      </w:pPr>
      <w:r w:rsidRPr="00B673D0">
        <w:rPr>
          <w:rFonts w:cs="Calibri"/>
        </w:rPr>
        <w:t xml:space="preserve">The results of the models are shown in Tables </w:t>
      </w:r>
      <w:r w:rsidR="00947D0B">
        <w:rPr>
          <w:rFonts w:cs="Calibri"/>
        </w:rPr>
        <w:t>3</w:t>
      </w:r>
      <w:r w:rsidRPr="00B673D0">
        <w:rPr>
          <w:rFonts w:cs="Calibri"/>
        </w:rPr>
        <w:t xml:space="preserve"> through </w:t>
      </w:r>
      <w:r>
        <w:rPr>
          <w:rFonts w:cs="Calibri"/>
        </w:rPr>
        <w:t>1</w:t>
      </w:r>
      <w:r w:rsidR="00947D0B">
        <w:rPr>
          <w:rFonts w:cs="Calibri"/>
        </w:rPr>
        <w:t>1</w:t>
      </w:r>
      <w:r w:rsidRPr="00B673D0">
        <w:rPr>
          <w:rFonts w:cs="Calibri"/>
        </w:rPr>
        <w:t xml:space="preserve">, and </w:t>
      </w:r>
      <w:r>
        <w:rPr>
          <w:rFonts w:cs="Calibri"/>
        </w:rPr>
        <w:t xml:space="preserve">general </w:t>
      </w:r>
      <w:r w:rsidRPr="00B673D0">
        <w:rPr>
          <w:rFonts w:cs="Calibri"/>
        </w:rPr>
        <w:t>highlights are presented after.</w:t>
      </w:r>
      <w:r>
        <w:rPr>
          <w:rFonts w:cs="Calibri"/>
        </w:rPr>
        <w:t xml:space="preserve"> </w:t>
      </w:r>
      <w:r w:rsidRPr="00B673D0">
        <w:rPr>
          <w:rFonts w:cs="Calibri"/>
        </w:rPr>
        <w:t xml:space="preserve">The columns in the </w:t>
      </w:r>
      <w:r>
        <w:rPr>
          <w:rFonts w:cs="Calibri"/>
        </w:rPr>
        <w:t>t</w:t>
      </w:r>
      <w:r w:rsidRPr="00B673D0">
        <w:rPr>
          <w:rFonts w:cs="Calibri"/>
        </w:rPr>
        <w:t>ables are as follows:</w:t>
      </w:r>
    </w:p>
    <w:p w14:paraId="7D460970" w14:textId="5AEDC81D" w:rsidR="00F22870" w:rsidRPr="00B673D0" w:rsidRDefault="00F22870" w:rsidP="00F22870">
      <w:pPr>
        <w:pStyle w:val="ListParagraph"/>
        <w:numPr>
          <w:ilvl w:val="0"/>
          <w:numId w:val="4"/>
        </w:numPr>
        <w:autoSpaceDE w:val="0"/>
        <w:autoSpaceDN w:val="0"/>
        <w:adjustRightInd w:val="0"/>
        <w:jc w:val="both"/>
        <w:rPr>
          <w:rFonts w:cs="Calibri"/>
        </w:rPr>
      </w:pPr>
      <w:r w:rsidRPr="00B673D0">
        <w:rPr>
          <w:rFonts w:cs="Calibri"/>
        </w:rPr>
        <w:t>Long-term rate impacts</w:t>
      </w:r>
      <w:r>
        <w:rPr>
          <w:rFonts w:cs="Calibri"/>
        </w:rPr>
        <w:t xml:space="preserve">, </w:t>
      </w:r>
      <w:r w:rsidRPr="00B673D0">
        <w:rPr>
          <w:rFonts w:cs="Calibri"/>
        </w:rPr>
        <w:t xml:space="preserve">defined as the </w:t>
      </w:r>
      <w:r>
        <w:rPr>
          <w:rFonts w:cs="Calibri"/>
        </w:rPr>
        <w:t>percentage change in average rates</w:t>
      </w:r>
      <w:r w:rsidRPr="00B673D0">
        <w:rPr>
          <w:rFonts w:cs="Calibri"/>
        </w:rPr>
        <w:t xml:space="preserve"> </w:t>
      </w:r>
      <w:r w:rsidR="00446BA2">
        <w:rPr>
          <w:rFonts w:cs="Calibri"/>
        </w:rPr>
        <w:t>over the study period (</w:t>
      </w:r>
      <w:r w:rsidRPr="00B673D0">
        <w:rPr>
          <w:rFonts w:cs="Calibri"/>
        </w:rPr>
        <w:t>202</w:t>
      </w:r>
      <w:r w:rsidR="00113B22">
        <w:rPr>
          <w:rFonts w:cs="Calibri"/>
        </w:rPr>
        <w:t>4</w:t>
      </w:r>
      <w:r w:rsidRPr="00B673D0">
        <w:rPr>
          <w:rFonts w:cs="Calibri"/>
        </w:rPr>
        <w:t xml:space="preserve"> to 204</w:t>
      </w:r>
      <w:r w:rsidR="00113B22">
        <w:rPr>
          <w:rFonts w:cs="Calibri"/>
        </w:rPr>
        <w:t>3</w:t>
      </w:r>
      <w:r w:rsidR="00446BA2">
        <w:rPr>
          <w:rFonts w:cs="Calibri"/>
        </w:rPr>
        <w:t>)</w:t>
      </w:r>
      <w:r w:rsidRPr="00B673D0">
        <w:rPr>
          <w:rFonts w:cs="Calibri"/>
        </w:rPr>
        <w:t xml:space="preserve"> </w:t>
      </w:r>
    </w:p>
    <w:p w14:paraId="02E50ECB" w14:textId="3502532C" w:rsidR="00F22870" w:rsidRPr="00B673D0" w:rsidRDefault="00F22870" w:rsidP="00F22870">
      <w:pPr>
        <w:pStyle w:val="ListParagraph"/>
        <w:numPr>
          <w:ilvl w:val="0"/>
          <w:numId w:val="4"/>
        </w:numPr>
        <w:autoSpaceDE w:val="0"/>
        <w:autoSpaceDN w:val="0"/>
        <w:adjustRightInd w:val="0"/>
        <w:jc w:val="both"/>
        <w:rPr>
          <w:rFonts w:cs="Calibri"/>
        </w:rPr>
      </w:pPr>
      <w:r w:rsidRPr="00B673D0">
        <w:rPr>
          <w:rFonts w:cs="Calibri"/>
        </w:rPr>
        <w:t>Typical energy savings</w:t>
      </w:r>
      <w:r>
        <w:rPr>
          <w:rFonts w:cs="Calibri"/>
        </w:rPr>
        <w:t>, which</w:t>
      </w:r>
      <w:r w:rsidRPr="00B673D0">
        <w:rPr>
          <w:rFonts w:cs="Calibri"/>
        </w:rPr>
        <w:t xml:space="preserve"> refer to the average percentage of energy savings to total annual consumption </w:t>
      </w:r>
      <w:r w:rsidR="00446BA2">
        <w:rPr>
          <w:rFonts w:cs="Calibri"/>
        </w:rPr>
        <w:t>over the study period</w:t>
      </w:r>
      <w:r w:rsidRPr="00B673D0">
        <w:rPr>
          <w:rFonts w:cs="Calibri"/>
        </w:rPr>
        <w:t xml:space="preserve"> (negative numbers indicate electricity consumption reduction) </w:t>
      </w:r>
    </w:p>
    <w:p w14:paraId="28753406" w14:textId="782980DD" w:rsidR="00F22870" w:rsidRPr="00B673D0" w:rsidRDefault="00F22870" w:rsidP="00F22870">
      <w:pPr>
        <w:pStyle w:val="ListParagraph"/>
        <w:numPr>
          <w:ilvl w:val="0"/>
          <w:numId w:val="4"/>
        </w:numPr>
        <w:autoSpaceDE w:val="0"/>
        <w:autoSpaceDN w:val="0"/>
        <w:adjustRightInd w:val="0"/>
        <w:jc w:val="both"/>
        <w:rPr>
          <w:rFonts w:cs="Calibri"/>
        </w:rPr>
      </w:pPr>
      <w:r w:rsidRPr="00B673D0">
        <w:rPr>
          <w:rFonts w:cs="Calibri"/>
        </w:rPr>
        <w:t>Typical bill savings</w:t>
      </w:r>
      <w:r>
        <w:rPr>
          <w:rFonts w:cs="Calibri"/>
        </w:rPr>
        <w:t xml:space="preserve">, </w:t>
      </w:r>
      <w:r w:rsidRPr="00B673D0">
        <w:rPr>
          <w:rFonts w:cs="Calibri"/>
        </w:rPr>
        <w:t xml:space="preserve">defined as </w:t>
      </w:r>
      <w:r>
        <w:rPr>
          <w:rFonts w:cs="Calibri"/>
        </w:rPr>
        <w:t>the percentage change in average customer bills</w:t>
      </w:r>
      <w:r w:rsidRPr="00B673D0">
        <w:rPr>
          <w:rFonts w:cs="Calibri"/>
        </w:rPr>
        <w:t xml:space="preserve"> </w:t>
      </w:r>
      <w:r w:rsidR="00111892">
        <w:rPr>
          <w:rFonts w:cs="Calibri"/>
        </w:rPr>
        <w:t>over the study period</w:t>
      </w:r>
      <w:r w:rsidRPr="00B673D0">
        <w:rPr>
          <w:rFonts w:cs="Calibri"/>
        </w:rPr>
        <w:t xml:space="preserve"> (negative numbers indicate electricity bill reduction)</w:t>
      </w:r>
    </w:p>
    <w:p w14:paraId="451ED2F0" w14:textId="1CABDD52" w:rsidR="00782564" w:rsidRPr="00B673D0" w:rsidRDefault="00644DE0" w:rsidP="00F22870">
      <w:pPr>
        <w:autoSpaceDE w:val="0"/>
        <w:autoSpaceDN w:val="0"/>
        <w:adjustRightInd w:val="0"/>
        <w:jc w:val="both"/>
        <w:rPr>
          <w:rFonts w:cs="Calibri"/>
        </w:rPr>
      </w:pPr>
      <w:r>
        <w:rPr>
          <w:rFonts w:cs="Calibri"/>
        </w:rPr>
        <w:t>L</w:t>
      </w:r>
      <w:r w:rsidR="00F22870" w:rsidRPr="00B673D0">
        <w:rPr>
          <w:rFonts w:cs="Calibri"/>
        </w:rPr>
        <w:t>ong-term rate impacts, typical energy savings, and typical bill savings are shown for average participants in energy efficiency programs, non-participants, and average customers within each of the five main customer segments.</w:t>
      </w:r>
      <w:r w:rsidR="00F22870">
        <w:rPr>
          <w:rStyle w:val="FootnoteReference"/>
          <w:rFonts w:cs="Calibri"/>
        </w:rPr>
        <w:footnoteReference w:id="6"/>
      </w:r>
      <w:r w:rsidR="00F22870" w:rsidRPr="00B673D0">
        <w:rPr>
          <w:rFonts w:cs="Calibri"/>
        </w:rPr>
        <w:t xml:space="preserve"> Average customers combine the bill impacts of EE </w:t>
      </w:r>
      <w:r w:rsidR="00410F51">
        <w:rPr>
          <w:rFonts w:cs="Calibri"/>
        </w:rPr>
        <w:t xml:space="preserve">participants </w:t>
      </w:r>
      <w:r w:rsidR="00F22870" w:rsidRPr="00B673D0">
        <w:rPr>
          <w:rFonts w:cs="Calibri"/>
        </w:rPr>
        <w:t>and non</w:t>
      </w:r>
      <w:r w:rsidR="00F22870">
        <w:rPr>
          <w:rFonts w:cs="Calibri"/>
        </w:rPr>
        <w:t>-</w:t>
      </w:r>
      <w:r w:rsidR="00F22870" w:rsidRPr="00B673D0">
        <w:rPr>
          <w:rFonts w:cs="Calibri"/>
        </w:rPr>
        <w:t xml:space="preserve">EE </w:t>
      </w:r>
      <w:r w:rsidR="00410F51">
        <w:rPr>
          <w:rFonts w:cs="Calibri"/>
        </w:rPr>
        <w:t>customers</w:t>
      </w:r>
      <w:r w:rsidR="00F22870" w:rsidRPr="00B673D0">
        <w:rPr>
          <w:rFonts w:cs="Calibri"/>
        </w:rPr>
        <w:t xml:space="preserve"> to show the impacts of all customers combined. </w:t>
      </w:r>
      <w:r w:rsidR="00F22870" w:rsidRPr="00B673D0" w:rsidDel="00C67DBC">
        <w:rPr>
          <w:rFonts w:cs="Calibri"/>
        </w:rPr>
        <w:t xml:space="preserve">For the </w:t>
      </w:r>
      <w:r w:rsidR="00F22870" w:rsidRPr="00B673D0">
        <w:rPr>
          <w:rFonts w:cs="Calibri"/>
        </w:rPr>
        <w:t>20</w:t>
      </w:r>
      <w:r w:rsidR="00F22870">
        <w:rPr>
          <w:rFonts w:cs="Calibri"/>
        </w:rPr>
        <w:t>2</w:t>
      </w:r>
      <w:r w:rsidR="00113B22">
        <w:rPr>
          <w:rFonts w:cs="Calibri"/>
        </w:rPr>
        <w:t>4</w:t>
      </w:r>
      <w:r w:rsidR="00F22870" w:rsidRPr="00B673D0" w:rsidDel="00C67DBC">
        <w:rPr>
          <w:rFonts w:cs="Calibri"/>
        </w:rPr>
        <w:t xml:space="preserve"> Bill Impact analysis</w:t>
      </w:r>
      <w:r w:rsidR="00F22870">
        <w:rPr>
          <w:rFonts w:cs="Calibri"/>
        </w:rPr>
        <w:t>,</w:t>
      </w:r>
      <w:r w:rsidR="00F22870" w:rsidRPr="00B673D0" w:rsidDel="00C67DBC">
        <w:rPr>
          <w:rFonts w:cs="Calibri"/>
        </w:rPr>
        <w:t xml:space="preserve"> the key finding is that over the </w:t>
      </w:r>
      <w:r w:rsidR="001604DF">
        <w:rPr>
          <w:rFonts w:cs="Calibri"/>
        </w:rPr>
        <w:t>proposed lifetimes of</w:t>
      </w:r>
      <w:r w:rsidR="00F22870">
        <w:rPr>
          <w:rFonts w:cs="Calibri"/>
        </w:rPr>
        <w:t xml:space="preserve"> 202</w:t>
      </w:r>
      <w:r w:rsidR="00955303">
        <w:rPr>
          <w:rFonts w:cs="Calibri"/>
        </w:rPr>
        <w:t>4</w:t>
      </w:r>
      <w:r w:rsidR="00F22870">
        <w:rPr>
          <w:rFonts w:cs="Calibri"/>
        </w:rPr>
        <w:t xml:space="preserve"> programs, </w:t>
      </w:r>
      <w:r w:rsidR="00F22870" w:rsidRPr="00B673D0" w:rsidDel="00C67DBC">
        <w:rPr>
          <w:rFonts w:cs="Calibri"/>
        </w:rPr>
        <w:t>the avera</w:t>
      </w:r>
      <w:r w:rsidR="005A42AF">
        <w:rPr>
          <w:rFonts w:cs="Calibri"/>
        </w:rPr>
        <w:t>ge participant’s</w:t>
      </w:r>
      <w:r w:rsidR="00F22870" w:rsidRPr="00B673D0" w:rsidDel="00C67DBC">
        <w:rPr>
          <w:rFonts w:cs="Calibri"/>
        </w:rPr>
        <w:t xml:space="preserve"> bill</w:t>
      </w:r>
      <w:r w:rsidR="005A42AF">
        <w:rPr>
          <w:rFonts w:cs="Calibri"/>
        </w:rPr>
        <w:t xml:space="preserve"> and the average customer’s bill</w:t>
      </w:r>
      <w:r w:rsidR="00F22870" w:rsidRPr="00B673D0" w:rsidDel="00C67DBC">
        <w:rPr>
          <w:rFonts w:cs="Calibri"/>
        </w:rPr>
        <w:t xml:space="preserve"> will </w:t>
      </w:r>
      <w:r w:rsidR="00F22870">
        <w:rPr>
          <w:rFonts w:cs="Calibri"/>
        </w:rPr>
        <w:t xml:space="preserve">not be </w:t>
      </w:r>
      <w:r w:rsidR="005A42AF">
        <w:rPr>
          <w:rFonts w:cs="Calibri"/>
        </w:rPr>
        <w:t>higher</w:t>
      </w:r>
      <w:r w:rsidR="00F22870">
        <w:rPr>
          <w:rFonts w:cs="Calibri"/>
        </w:rPr>
        <w:t xml:space="preserve"> than a scenario with no programs</w:t>
      </w:r>
      <w:r w:rsidR="00F22870" w:rsidRPr="00B673D0" w:rsidDel="00C67DBC">
        <w:rPr>
          <w:rFonts w:cs="Calibri"/>
        </w:rPr>
        <w:t>.</w:t>
      </w:r>
    </w:p>
    <w:p w14:paraId="1046E462" w14:textId="60D20A04" w:rsidR="00F22870" w:rsidRPr="00793230" w:rsidRDefault="00F22870" w:rsidP="00F22870">
      <w:pPr>
        <w:pStyle w:val="Caption"/>
        <w:rPr>
          <w:rFonts w:cs="Calibri"/>
          <w:color w:val="4F81BD"/>
          <w:sz w:val="22"/>
          <w:szCs w:val="22"/>
        </w:rPr>
      </w:pPr>
      <w:r w:rsidRPr="00793230">
        <w:rPr>
          <w:rFonts w:cs="Calibri"/>
          <w:color w:val="4F81BD"/>
          <w:sz w:val="22"/>
          <w:szCs w:val="22"/>
        </w:rPr>
        <w:t xml:space="preserve">Table </w:t>
      </w:r>
      <w:r w:rsidRPr="00793230">
        <w:rPr>
          <w:rFonts w:cs="Calibri"/>
          <w:color w:val="4F81BD"/>
          <w:sz w:val="22"/>
          <w:szCs w:val="22"/>
        </w:rPr>
        <w:fldChar w:fldCharType="begin"/>
      </w:r>
      <w:r w:rsidRPr="00793230">
        <w:rPr>
          <w:rFonts w:cs="Calibri"/>
          <w:color w:val="4F81BD"/>
          <w:sz w:val="22"/>
          <w:szCs w:val="22"/>
        </w:rPr>
        <w:instrText>SEQ Table \* ARABIC</w:instrText>
      </w:r>
      <w:r w:rsidRPr="00793230">
        <w:rPr>
          <w:rFonts w:cs="Calibri"/>
          <w:color w:val="4F81BD"/>
          <w:sz w:val="22"/>
          <w:szCs w:val="22"/>
        </w:rPr>
        <w:fldChar w:fldCharType="separate"/>
      </w:r>
      <w:r w:rsidR="00F573DA" w:rsidRPr="00793230">
        <w:rPr>
          <w:rFonts w:cs="Calibri"/>
          <w:color w:val="4F81BD"/>
          <w:sz w:val="22"/>
          <w:szCs w:val="22"/>
        </w:rPr>
        <w:t>3</w:t>
      </w:r>
      <w:r w:rsidRPr="00793230">
        <w:rPr>
          <w:rFonts w:cs="Calibri"/>
          <w:color w:val="4F81BD"/>
          <w:sz w:val="22"/>
          <w:szCs w:val="22"/>
        </w:rPr>
        <w:fldChar w:fldCharType="end"/>
      </w:r>
      <w:r w:rsidRPr="00793230">
        <w:rPr>
          <w:rFonts w:cs="Calibri"/>
          <w:color w:val="4F81BD"/>
          <w:sz w:val="22"/>
          <w:szCs w:val="22"/>
        </w:rPr>
        <w:t>. Residential All Programs – Rate and Bill Impact Analysis – A-16 (202</w:t>
      </w:r>
      <w:r w:rsidR="00955303">
        <w:rPr>
          <w:rFonts w:cs="Calibri"/>
          <w:color w:val="4F81BD"/>
          <w:sz w:val="22"/>
          <w:szCs w:val="22"/>
        </w:rPr>
        <w:t>4</w:t>
      </w:r>
      <w:r w:rsidRPr="00793230">
        <w:rPr>
          <w:rFonts w:cs="Calibri"/>
          <w:color w:val="4F81BD"/>
          <w:sz w:val="22"/>
          <w:szCs w:val="22"/>
        </w:rPr>
        <w:t xml:space="preserve"> EE Plan vs. No EE)</w:t>
      </w:r>
    </w:p>
    <w:tbl>
      <w:tblPr>
        <w:tblStyle w:val="GridTable4-Accent1"/>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2486"/>
        <w:gridCol w:w="2273"/>
        <w:gridCol w:w="2440"/>
        <w:gridCol w:w="2151"/>
      </w:tblGrid>
      <w:tr w:rsidR="00F22870" w:rsidRPr="003D0109" w14:paraId="408E67ED" w14:textId="77777777" w:rsidTr="004E713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29" w:type="pct"/>
            <w:vMerge w:val="restart"/>
            <w:hideMark/>
          </w:tcPr>
          <w:p w14:paraId="407237C3" w14:textId="39CA5ED0" w:rsidR="00F22870" w:rsidRPr="003D0109" w:rsidRDefault="00F22870" w:rsidP="00477C28">
            <w:pPr>
              <w:keepNext/>
              <w:spacing w:after="0" w:line="240" w:lineRule="auto"/>
              <w:rPr>
                <w:rFonts w:eastAsia="Times New Roman" w:cs="Arial"/>
                <w:b w:val="0"/>
                <w:sz w:val="20"/>
                <w:szCs w:val="20"/>
                <w:lang w:eastAsia="en-US"/>
              </w:rPr>
            </w:pPr>
            <w:r w:rsidRPr="003D0109">
              <w:rPr>
                <w:rFonts w:eastAsia="Times New Roman" w:cs="Arial"/>
                <w:sz w:val="20"/>
                <w:szCs w:val="20"/>
                <w:lang w:eastAsia="en-US"/>
              </w:rPr>
              <w:t>Residential (All Programs)</w:t>
            </w:r>
          </w:p>
        </w:tc>
        <w:tc>
          <w:tcPr>
            <w:tcW w:w="1215" w:type="pct"/>
            <w:hideMark/>
          </w:tcPr>
          <w:p w14:paraId="78D21684" w14:textId="4713D2F0" w:rsidR="00F22870" w:rsidRPr="003D0109" w:rsidRDefault="00F22870" w:rsidP="00477C28">
            <w:pPr>
              <w:keepNext/>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n-US"/>
              </w:rPr>
            </w:pPr>
            <w:r w:rsidRPr="003D0109">
              <w:rPr>
                <w:rFonts w:eastAsia="Times New Roman" w:cs="Arial"/>
                <w:sz w:val="20"/>
                <w:szCs w:val="20"/>
                <w:lang w:eastAsia="en-US"/>
              </w:rPr>
              <w:t>Long-Term Rate Impacts</w:t>
            </w:r>
            <w:bookmarkStart w:id="5" w:name="_Ref114150728"/>
            <w:r w:rsidR="005B2F3B" w:rsidRPr="003D0109">
              <w:rPr>
                <w:rStyle w:val="FootnoteReference"/>
                <w:rFonts w:eastAsia="Times New Roman" w:cs="Arial"/>
                <w:sz w:val="20"/>
                <w:szCs w:val="20"/>
                <w:lang w:eastAsia="en-US"/>
              </w:rPr>
              <w:footnoteReference w:id="7"/>
            </w:r>
            <w:bookmarkEnd w:id="5"/>
          </w:p>
        </w:tc>
        <w:tc>
          <w:tcPr>
            <w:tcW w:w="1305" w:type="pct"/>
            <w:hideMark/>
          </w:tcPr>
          <w:p w14:paraId="2EB6CEA0" w14:textId="77777777" w:rsidR="00F22870" w:rsidRPr="003D0109" w:rsidRDefault="00F22870" w:rsidP="00477C28">
            <w:pPr>
              <w:keepNext/>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n-US"/>
              </w:rPr>
            </w:pPr>
            <w:r w:rsidRPr="003D0109">
              <w:rPr>
                <w:rFonts w:eastAsia="Times New Roman" w:cs="Arial"/>
                <w:sz w:val="20"/>
                <w:szCs w:val="20"/>
                <w:lang w:eastAsia="en-US"/>
              </w:rPr>
              <w:t>Typical Energy Savings</w:t>
            </w:r>
          </w:p>
        </w:tc>
        <w:tc>
          <w:tcPr>
            <w:tcW w:w="1150" w:type="pct"/>
            <w:hideMark/>
          </w:tcPr>
          <w:p w14:paraId="36218F97" w14:textId="77777777" w:rsidR="00F22870" w:rsidRPr="003D0109" w:rsidRDefault="00F22870" w:rsidP="00477C28">
            <w:pPr>
              <w:keepNext/>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n-US"/>
              </w:rPr>
            </w:pPr>
            <w:r w:rsidRPr="003D0109">
              <w:rPr>
                <w:rFonts w:eastAsia="Times New Roman" w:cs="Arial"/>
                <w:sz w:val="20"/>
                <w:szCs w:val="20"/>
                <w:lang w:eastAsia="en-US"/>
              </w:rPr>
              <w:t>Typical Bill Savings</w:t>
            </w:r>
          </w:p>
        </w:tc>
      </w:tr>
      <w:tr w:rsidR="00F22870" w:rsidRPr="003D0109" w14:paraId="34001B00" w14:textId="77777777" w:rsidTr="004E713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29" w:type="pct"/>
            <w:vMerge/>
            <w:tcBorders>
              <w:bottom w:val="single" w:sz="4" w:space="0" w:color="4F81BD" w:themeColor="accent1"/>
            </w:tcBorders>
            <w:noWrap/>
            <w:hideMark/>
          </w:tcPr>
          <w:p w14:paraId="3235C14C" w14:textId="77777777" w:rsidR="00F22870" w:rsidRPr="003D0109" w:rsidRDefault="00F22870" w:rsidP="00477C28">
            <w:pPr>
              <w:keepNext/>
              <w:spacing w:after="0" w:line="240" w:lineRule="auto"/>
              <w:rPr>
                <w:rFonts w:eastAsia="Times New Roman" w:cs="Arial"/>
                <w:b w:val="0"/>
                <w:sz w:val="20"/>
                <w:szCs w:val="20"/>
                <w:lang w:eastAsia="en-US"/>
              </w:rPr>
            </w:pPr>
          </w:p>
        </w:tc>
        <w:tc>
          <w:tcPr>
            <w:tcW w:w="1215" w:type="pct"/>
            <w:tcBorders>
              <w:bottom w:val="single" w:sz="4" w:space="0" w:color="4F81BD" w:themeColor="accent1"/>
            </w:tcBorders>
            <w:shd w:val="clear" w:color="auto" w:fill="4F81BD" w:themeFill="accent1"/>
            <w:noWrap/>
            <w:hideMark/>
          </w:tcPr>
          <w:p w14:paraId="53453E0D" w14:textId="77777777" w:rsidR="00F22870" w:rsidRPr="00D226E3" w:rsidRDefault="00F22870" w:rsidP="00477C28">
            <w:pPr>
              <w:keepNext/>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FFFFFF" w:themeColor="background1"/>
                <w:sz w:val="20"/>
                <w:szCs w:val="20"/>
                <w:lang w:eastAsia="en-US"/>
              </w:rPr>
            </w:pPr>
            <w:r w:rsidRPr="00D226E3">
              <w:rPr>
                <w:rFonts w:eastAsia="Times New Roman" w:cs="Arial"/>
                <w:b/>
                <w:color w:val="FFFFFF" w:themeColor="background1"/>
                <w:sz w:val="20"/>
                <w:szCs w:val="20"/>
                <w:lang w:eastAsia="en-US"/>
              </w:rPr>
              <w:t>(% of Total Rate)</w:t>
            </w:r>
          </w:p>
        </w:tc>
        <w:tc>
          <w:tcPr>
            <w:tcW w:w="1305" w:type="pct"/>
            <w:tcBorders>
              <w:bottom w:val="single" w:sz="4" w:space="0" w:color="4F81BD" w:themeColor="accent1"/>
            </w:tcBorders>
            <w:shd w:val="clear" w:color="auto" w:fill="4F81BD" w:themeFill="accent1"/>
            <w:noWrap/>
            <w:hideMark/>
          </w:tcPr>
          <w:p w14:paraId="226A5077" w14:textId="77777777" w:rsidR="00F22870" w:rsidRPr="00D226E3" w:rsidRDefault="00F22870" w:rsidP="00477C28">
            <w:pPr>
              <w:keepNext/>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FFFFFF" w:themeColor="background1"/>
                <w:sz w:val="20"/>
                <w:szCs w:val="20"/>
                <w:lang w:eastAsia="en-US"/>
              </w:rPr>
            </w:pPr>
            <w:r w:rsidRPr="00D226E3">
              <w:rPr>
                <w:rFonts w:eastAsia="Times New Roman" w:cs="Arial"/>
                <w:b/>
                <w:color w:val="FFFFFF" w:themeColor="background1"/>
                <w:sz w:val="20"/>
                <w:szCs w:val="20"/>
                <w:lang w:eastAsia="en-US"/>
              </w:rPr>
              <w:t>(% per Participant)</w:t>
            </w:r>
          </w:p>
        </w:tc>
        <w:tc>
          <w:tcPr>
            <w:tcW w:w="1150" w:type="pct"/>
            <w:tcBorders>
              <w:bottom w:val="single" w:sz="4" w:space="0" w:color="4F81BD" w:themeColor="accent1"/>
            </w:tcBorders>
            <w:shd w:val="clear" w:color="auto" w:fill="4F81BD" w:themeFill="accent1"/>
            <w:noWrap/>
            <w:hideMark/>
          </w:tcPr>
          <w:p w14:paraId="639DB39B" w14:textId="77777777" w:rsidR="00F22870" w:rsidRPr="00D226E3" w:rsidRDefault="00F22870" w:rsidP="00477C28">
            <w:pPr>
              <w:keepNext/>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FFFFFF" w:themeColor="background1"/>
                <w:sz w:val="20"/>
                <w:szCs w:val="20"/>
                <w:lang w:eastAsia="en-US"/>
              </w:rPr>
            </w:pPr>
            <w:r w:rsidRPr="00D226E3">
              <w:rPr>
                <w:rFonts w:eastAsia="Times New Roman" w:cs="Arial"/>
                <w:b/>
                <w:color w:val="FFFFFF" w:themeColor="background1"/>
                <w:sz w:val="20"/>
                <w:szCs w:val="20"/>
                <w:lang w:eastAsia="en-US"/>
              </w:rPr>
              <w:t>(% of Total Bill)</w:t>
            </w:r>
          </w:p>
        </w:tc>
      </w:tr>
      <w:tr w:rsidR="004E7138" w:rsidRPr="003D0109" w14:paraId="21DEF1AC" w14:textId="77777777" w:rsidTr="0008162E">
        <w:trPr>
          <w:trHeight w:val="288"/>
        </w:trPr>
        <w:tc>
          <w:tcPr>
            <w:cnfStyle w:val="001000000000" w:firstRow="0" w:lastRow="0" w:firstColumn="1" w:lastColumn="0" w:oddVBand="0" w:evenVBand="0" w:oddHBand="0" w:evenHBand="0" w:firstRowFirstColumn="0" w:firstRowLastColumn="0" w:lastRowFirstColumn="0" w:lastRowLastColumn="0"/>
            <w:tcW w:w="1329" w:type="pct"/>
            <w:tcBorders>
              <w:top w:val="single" w:sz="4" w:space="0" w:color="4F81BD" w:themeColor="accent1"/>
              <w:bottom w:val="single" w:sz="4" w:space="0" w:color="4F81BD" w:themeColor="accent1"/>
            </w:tcBorders>
            <w:shd w:val="clear" w:color="auto" w:fill="FFFFFF" w:themeFill="background1"/>
            <w:noWrap/>
            <w:hideMark/>
          </w:tcPr>
          <w:p w14:paraId="031892BD" w14:textId="77777777" w:rsidR="004E7138" w:rsidRPr="003D0109" w:rsidRDefault="004E7138" w:rsidP="004E7138">
            <w:pPr>
              <w:keepNext/>
              <w:spacing w:after="0" w:line="240" w:lineRule="auto"/>
              <w:rPr>
                <w:rFonts w:eastAsia="Times New Roman" w:cs="Arial"/>
                <w:b w:val="0"/>
                <w:bCs w:val="0"/>
                <w:sz w:val="20"/>
                <w:szCs w:val="20"/>
                <w:lang w:eastAsia="en-US"/>
              </w:rPr>
            </w:pPr>
            <w:r w:rsidRPr="003D0109">
              <w:rPr>
                <w:rFonts w:eastAsia="Times New Roman" w:cs="Arial"/>
                <w:b w:val="0"/>
                <w:bCs w:val="0"/>
                <w:sz w:val="20"/>
                <w:szCs w:val="20"/>
                <w:lang w:eastAsia="en-US"/>
              </w:rPr>
              <w:t>Average Participant</w:t>
            </w:r>
          </w:p>
        </w:tc>
        <w:tc>
          <w:tcPr>
            <w:tcW w:w="1215" w:type="pct"/>
            <w:tcBorders>
              <w:top w:val="single" w:sz="4" w:space="0" w:color="4F81BD" w:themeColor="accent1"/>
              <w:bottom w:val="single" w:sz="4" w:space="0" w:color="4F81BD" w:themeColor="accent1"/>
            </w:tcBorders>
            <w:shd w:val="clear" w:color="auto" w:fill="FFFFFF" w:themeFill="background1"/>
            <w:noWrap/>
            <w:vAlign w:val="bottom"/>
          </w:tcPr>
          <w:p w14:paraId="60C217ED" w14:textId="570A57FC" w:rsidR="004E7138" w:rsidRPr="0008162E" w:rsidRDefault="004E7138" w:rsidP="004E7138">
            <w:pPr>
              <w:keepNext/>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BFBFBF" w:themeColor="background1" w:themeShade="BF"/>
                <w:sz w:val="20"/>
                <w:szCs w:val="20"/>
                <w:lang w:eastAsia="en-US"/>
              </w:rPr>
            </w:pPr>
            <w:r w:rsidRPr="0008162E">
              <w:rPr>
                <w:rFonts w:cs="Calibri"/>
                <w:sz w:val="20"/>
                <w:szCs w:val="20"/>
              </w:rPr>
              <w:t>0.</w:t>
            </w:r>
            <w:r w:rsidR="00350858">
              <w:rPr>
                <w:rFonts w:cs="Calibri"/>
                <w:sz w:val="20"/>
                <w:szCs w:val="20"/>
              </w:rPr>
              <w:t>16</w:t>
            </w:r>
            <w:r w:rsidRPr="0008162E">
              <w:rPr>
                <w:rFonts w:cs="Calibri"/>
                <w:sz w:val="20"/>
                <w:szCs w:val="20"/>
              </w:rPr>
              <w:t>%</w:t>
            </w:r>
          </w:p>
        </w:tc>
        <w:tc>
          <w:tcPr>
            <w:tcW w:w="1305" w:type="pct"/>
            <w:tcBorders>
              <w:top w:val="single" w:sz="4" w:space="0" w:color="4F81BD" w:themeColor="accent1"/>
              <w:bottom w:val="single" w:sz="4" w:space="0" w:color="4F81BD" w:themeColor="accent1"/>
            </w:tcBorders>
            <w:shd w:val="clear" w:color="auto" w:fill="FFFFFF" w:themeFill="background1"/>
            <w:noWrap/>
            <w:vAlign w:val="bottom"/>
          </w:tcPr>
          <w:p w14:paraId="111CD2F1" w14:textId="216EB89D" w:rsidR="004E7138" w:rsidRPr="0008162E" w:rsidRDefault="004E7138" w:rsidP="004E7138">
            <w:pPr>
              <w:keepNext/>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BFBFBF" w:themeColor="background1" w:themeShade="BF"/>
                <w:sz w:val="20"/>
                <w:szCs w:val="20"/>
                <w:lang w:eastAsia="en-US"/>
              </w:rPr>
            </w:pPr>
            <w:r w:rsidRPr="0008162E">
              <w:rPr>
                <w:rFonts w:cs="Calibri"/>
                <w:sz w:val="20"/>
                <w:szCs w:val="20"/>
              </w:rPr>
              <w:t>-4.</w:t>
            </w:r>
            <w:r w:rsidR="00FF1887">
              <w:rPr>
                <w:rFonts w:cs="Calibri"/>
                <w:sz w:val="20"/>
                <w:szCs w:val="20"/>
              </w:rPr>
              <w:t>9</w:t>
            </w:r>
            <w:r w:rsidRPr="0008162E">
              <w:rPr>
                <w:rFonts w:cs="Calibri"/>
                <w:sz w:val="20"/>
                <w:szCs w:val="20"/>
              </w:rPr>
              <w:t>2%</w:t>
            </w:r>
          </w:p>
        </w:tc>
        <w:tc>
          <w:tcPr>
            <w:tcW w:w="1150" w:type="pct"/>
            <w:tcBorders>
              <w:top w:val="single" w:sz="4" w:space="0" w:color="4F81BD" w:themeColor="accent1"/>
              <w:bottom w:val="single" w:sz="4" w:space="0" w:color="4F81BD" w:themeColor="accent1"/>
            </w:tcBorders>
            <w:shd w:val="clear" w:color="auto" w:fill="FFFFFF" w:themeFill="background1"/>
            <w:noWrap/>
            <w:vAlign w:val="bottom"/>
          </w:tcPr>
          <w:p w14:paraId="19D52AFD" w14:textId="6A952BC1" w:rsidR="004E7138" w:rsidRPr="0008162E" w:rsidRDefault="004E7138" w:rsidP="004E7138">
            <w:pPr>
              <w:keepNext/>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BFBFBF" w:themeColor="background1" w:themeShade="BF"/>
                <w:sz w:val="20"/>
                <w:szCs w:val="20"/>
                <w:lang w:eastAsia="en-US"/>
              </w:rPr>
            </w:pPr>
            <w:r w:rsidRPr="0008162E">
              <w:rPr>
                <w:rFonts w:cs="Calibri"/>
                <w:sz w:val="20"/>
                <w:szCs w:val="20"/>
              </w:rPr>
              <w:t>-4.7</w:t>
            </w:r>
            <w:r w:rsidR="00350858">
              <w:rPr>
                <w:rFonts w:cs="Calibri"/>
                <w:sz w:val="20"/>
                <w:szCs w:val="20"/>
              </w:rPr>
              <w:t>4</w:t>
            </w:r>
            <w:r w:rsidRPr="0008162E">
              <w:rPr>
                <w:rFonts w:cs="Calibri"/>
                <w:sz w:val="20"/>
                <w:szCs w:val="20"/>
              </w:rPr>
              <w:t>%</w:t>
            </w:r>
          </w:p>
        </w:tc>
      </w:tr>
      <w:tr w:rsidR="004E7138" w:rsidRPr="003D0109" w14:paraId="603878FA" w14:textId="77777777" w:rsidTr="000816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29" w:type="pct"/>
            <w:tcBorders>
              <w:top w:val="single" w:sz="4" w:space="0" w:color="4F81BD" w:themeColor="accent1"/>
              <w:bottom w:val="single" w:sz="4" w:space="0" w:color="4F81BD" w:themeColor="accent1"/>
            </w:tcBorders>
            <w:shd w:val="clear" w:color="auto" w:fill="FFFFFF" w:themeFill="background1"/>
            <w:noWrap/>
            <w:hideMark/>
          </w:tcPr>
          <w:p w14:paraId="00EA0B16" w14:textId="77777777" w:rsidR="004E7138" w:rsidRPr="003D0109" w:rsidRDefault="004E7138" w:rsidP="004E7138">
            <w:pPr>
              <w:keepNext/>
              <w:spacing w:after="0" w:line="240" w:lineRule="auto"/>
              <w:rPr>
                <w:rFonts w:eastAsia="Times New Roman" w:cs="Arial"/>
                <w:b w:val="0"/>
                <w:bCs w:val="0"/>
                <w:sz w:val="20"/>
                <w:szCs w:val="20"/>
                <w:lang w:eastAsia="en-US"/>
              </w:rPr>
            </w:pPr>
            <w:r w:rsidRPr="003D0109">
              <w:rPr>
                <w:rFonts w:eastAsia="Times New Roman" w:cs="Arial"/>
                <w:b w:val="0"/>
                <w:bCs w:val="0"/>
                <w:sz w:val="20"/>
                <w:szCs w:val="20"/>
                <w:lang w:eastAsia="en-US"/>
              </w:rPr>
              <w:t>Non-Participant</w:t>
            </w:r>
          </w:p>
        </w:tc>
        <w:tc>
          <w:tcPr>
            <w:tcW w:w="1215" w:type="pct"/>
            <w:tcBorders>
              <w:top w:val="single" w:sz="4" w:space="0" w:color="4F81BD" w:themeColor="accent1"/>
              <w:bottom w:val="single" w:sz="4" w:space="0" w:color="4F81BD" w:themeColor="accent1"/>
            </w:tcBorders>
            <w:shd w:val="clear" w:color="auto" w:fill="FFFFFF" w:themeFill="background1"/>
            <w:noWrap/>
            <w:vAlign w:val="bottom"/>
          </w:tcPr>
          <w:p w14:paraId="2DB7F5ED" w14:textId="63E9759D" w:rsidR="004E7138" w:rsidRPr="0008162E" w:rsidRDefault="004E7138" w:rsidP="004E7138">
            <w:pPr>
              <w:keepNext/>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BFBFBF" w:themeColor="background1" w:themeShade="BF"/>
                <w:sz w:val="20"/>
                <w:szCs w:val="20"/>
                <w:lang w:eastAsia="en-US"/>
              </w:rPr>
            </w:pPr>
            <w:r w:rsidRPr="0008162E">
              <w:rPr>
                <w:rFonts w:cs="Calibri"/>
                <w:sz w:val="20"/>
                <w:szCs w:val="20"/>
              </w:rPr>
              <w:t>0.</w:t>
            </w:r>
            <w:r w:rsidR="00350858">
              <w:rPr>
                <w:rFonts w:cs="Calibri"/>
                <w:sz w:val="20"/>
                <w:szCs w:val="20"/>
              </w:rPr>
              <w:t>16</w:t>
            </w:r>
            <w:r w:rsidRPr="0008162E">
              <w:rPr>
                <w:rFonts w:cs="Calibri"/>
                <w:sz w:val="20"/>
                <w:szCs w:val="20"/>
              </w:rPr>
              <w:t>%</w:t>
            </w:r>
          </w:p>
        </w:tc>
        <w:tc>
          <w:tcPr>
            <w:tcW w:w="1305" w:type="pct"/>
            <w:tcBorders>
              <w:top w:val="single" w:sz="4" w:space="0" w:color="4F81BD" w:themeColor="accent1"/>
              <w:bottom w:val="single" w:sz="4" w:space="0" w:color="4F81BD" w:themeColor="accent1"/>
            </w:tcBorders>
            <w:shd w:val="clear" w:color="auto" w:fill="FFFFFF" w:themeFill="background1"/>
            <w:noWrap/>
            <w:vAlign w:val="bottom"/>
          </w:tcPr>
          <w:p w14:paraId="05626204" w14:textId="5FFF571E" w:rsidR="004E7138" w:rsidRPr="0008162E" w:rsidRDefault="004E7138" w:rsidP="004E7138">
            <w:pPr>
              <w:keepNext/>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BFBFBF" w:themeColor="background1" w:themeShade="BF"/>
                <w:sz w:val="20"/>
                <w:szCs w:val="20"/>
                <w:lang w:eastAsia="en-US"/>
              </w:rPr>
            </w:pPr>
            <w:r w:rsidRPr="0008162E">
              <w:rPr>
                <w:rFonts w:cs="Calibri"/>
                <w:sz w:val="20"/>
                <w:szCs w:val="20"/>
              </w:rPr>
              <w:t>0.00%</w:t>
            </w:r>
          </w:p>
        </w:tc>
        <w:tc>
          <w:tcPr>
            <w:tcW w:w="1150" w:type="pct"/>
            <w:tcBorders>
              <w:top w:val="single" w:sz="4" w:space="0" w:color="4F81BD" w:themeColor="accent1"/>
              <w:bottom w:val="single" w:sz="4" w:space="0" w:color="4F81BD" w:themeColor="accent1"/>
            </w:tcBorders>
            <w:shd w:val="clear" w:color="auto" w:fill="FFFFFF" w:themeFill="background1"/>
            <w:noWrap/>
            <w:vAlign w:val="bottom"/>
          </w:tcPr>
          <w:p w14:paraId="2A56D50F" w14:textId="2D6B8FF3" w:rsidR="004E7138" w:rsidRPr="0008162E" w:rsidRDefault="004E7138" w:rsidP="004E7138">
            <w:pPr>
              <w:keepNext/>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BFBFBF" w:themeColor="background1" w:themeShade="BF"/>
                <w:sz w:val="20"/>
                <w:szCs w:val="20"/>
                <w:lang w:eastAsia="en-US"/>
              </w:rPr>
            </w:pPr>
            <w:r w:rsidRPr="0008162E">
              <w:rPr>
                <w:rFonts w:cs="Calibri"/>
                <w:sz w:val="20"/>
                <w:szCs w:val="20"/>
              </w:rPr>
              <w:t>0.</w:t>
            </w:r>
            <w:r w:rsidR="00350858">
              <w:rPr>
                <w:rFonts w:cs="Calibri"/>
                <w:sz w:val="20"/>
                <w:szCs w:val="20"/>
              </w:rPr>
              <w:t>11</w:t>
            </w:r>
            <w:r w:rsidRPr="0008162E">
              <w:rPr>
                <w:rFonts w:cs="Calibri"/>
                <w:sz w:val="20"/>
                <w:szCs w:val="20"/>
              </w:rPr>
              <w:t>%</w:t>
            </w:r>
          </w:p>
        </w:tc>
      </w:tr>
      <w:tr w:rsidR="004E7138" w:rsidRPr="003D0109" w14:paraId="226818C1" w14:textId="77777777" w:rsidTr="0008162E">
        <w:trPr>
          <w:trHeight w:val="288"/>
        </w:trPr>
        <w:tc>
          <w:tcPr>
            <w:cnfStyle w:val="001000000000" w:firstRow="0" w:lastRow="0" w:firstColumn="1" w:lastColumn="0" w:oddVBand="0" w:evenVBand="0" w:oddHBand="0" w:evenHBand="0" w:firstRowFirstColumn="0" w:firstRowLastColumn="0" w:lastRowFirstColumn="0" w:lastRowLastColumn="0"/>
            <w:tcW w:w="1329" w:type="pct"/>
            <w:tcBorders>
              <w:top w:val="single" w:sz="4" w:space="0" w:color="4F81BD" w:themeColor="accent1"/>
            </w:tcBorders>
            <w:shd w:val="clear" w:color="auto" w:fill="FFFFFF" w:themeFill="background1"/>
            <w:noWrap/>
            <w:hideMark/>
          </w:tcPr>
          <w:p w14:paraId="7185ECD1" w14:textId="77777777" w:rsidR="004E7138" w:rsidRPr="003D0109" w:rsidRDefault="004E7138" w:rsidP="004E7138">
            <w:pPr>
              <w:keepNext/>
              <w:spacing w:after="0" w:line="240" w:lineRule="auto"/>
              <w:rPr>
                <w:rFonts w:eastAsia="Times New Roman" w:cs="Arial"/>
                <w:b w:val="0"/>
                <w:bCs w:val="0"/>
                <w:sz w:val="20"/>
                <w:szCs w:val="20"/>
                <w:lang w:eastAsia="en-US"/>
              </w:rPr>
            </w:pPr>
            <w:r w:rsidRPr="003D0109">
              <w:rPr>
                <w:rFonts w:eastAsia="Times New Roman" w:cs="Arial"/>
                <w:b w:val="0"/>
                <w:bCs w:val="0"/>
                <w:sz w:val="20"/>
                <w:szCs w:val="20"/>
                <w:lang w:eastAsia="en-US"/>
              </w:rPr>
              <w:t>Average Customer</w:t>
            </w:r>
          </w:p>
        </w:tc>
        <w:tc>
          <w:tcPr>
            <w:tcW w:w="1215" w:type="pct"/>
            <w:tcBorders>
              <w:top w:val="single" w:sz="4" w:space="0" w:color="4F81BD" w:themeColor="accent1"/>
            </w:tcBorders>
            <w:shd w:val="clear" w:color="auto" w:fill="FFFFFF" w:themeFill="background1"/>
            <w:noWrap/>
            <w:vAlign w:val="bottom"/>
          </w:tcPr>
          <w:p w14:paraId="39DAF5ED" w14:textId="1D063BD6" w:rsidR="004E7138" w:rsidRPr="0008162E" w:rsidRDefault="004E7138" w:rsidP="004E7138">
            <w:pPr>
              <w:keepNext/>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BFBFBF" w:themeColor="background1" w:themeShade="BF"/>
                <w:sz w:val="20"/>
                <w:szCs w:val="20"/>
                <w:lang w:eastAsia="en-US"/>
              </w:rPr>
            </w:pPr>
            <w:r w:rsidRPr="0008162E">
              <w:rPr>
                <w:rFonts w:cs="Calibri"/>
                <w:sz w:val="20"/>
                <w:szCs w:val="20"/>
              </w:rPr>
              <w:t>0.</w:t>
            </w:r>
            <w:r w:rsidR="00350858">
              <w:rPr>
                <w:rFonts w:cs="Calibri"/>
                <w:sz w:val="20"/>
                <w:szCs w:val="20"/>
              </w:rPr>
              <w:t>16</w:t>
            </w:r>
            <w:r w:rsidRPr="0008162E">
              <w:rPr>
                <w:rFonts w:cs="Calibri"/>
                <w:sz w:val="20"/>
                <w:szCs w:val="20"/>
              </w:rPr>
              <w:t>%</w:t>
            </w:r>
          </w:p>
        </w:tc>
        <w:tc>
          <w:tcPr>
            <w:tcW w:w="1305" w:type="pct"/>
            <w:tcBorders>
              <w:top w:val="single" w:sz="4" w:space="0" w:color="4F81BD" w:themeColor="accent1"/>
            </w:tcBorders>
            <w:shd w:val="clear" w:color="auto" w:fill="FFFFFF" w:themeFill="background1"/>
            <w:noWrap/>
            <w:vAlign w:val="bottom"/>
          </w:tcPr>
          <w:p w14:paraId="2019636F" w14:textId="4E020A16" w:rsidR="004E7138" w:rsidRPr="0008162E" w:rsidRDefault="004E7138" w:rsidP="004E7138">
            <w:pPr>
              <w:keepNext/>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BFBFBF" w:themeColor="background1" w:themeShade="BF"/>
                <w:sz w:val="20"/>
                <w:szCs w:val="20"/>
                <w:lang w:eastAsia="en-US"/>
              </w:rPr>
            </w:pPr>
            <w:r w:rsidRPr="0008162E">
              <w:rPr>
                <w:rFonts w:cs="Calibri"/>
                <w:sz w:val="20"/>
                <w:szCs w:val="20"/>
              </w:rPr>
              <w:t>-0.2</w:t>
            </w:r>
            <w:r w:rsidR="00FF1887">
              <w:rPr>
                <w:rFonts w:cs="Calibri"/>
                <w:sz w:val="20"/>
                <w:szCs w:val="20"/>
              </w:rPr>
              <w:t>4</w:t>
            </w:r>
            <w:r w:rsidRPr="0008162E">
              <w:rPr>
                <w:rFonts w:cs="Calibri"/>
                <w:sz w:val="20"/>
                <w:szCs w:val="20"/>
              </w:rPr>
              <w:t>%</w:t>
            </w:r>
          </w:p>
        </w:tc>
        <w:tc>
          <w:tcPr>
            <w:tcW w:w="1150" w:type="pct"/>
            <w:tcBorders>
              <w:top w:val="single" w:sz="4" w:space="0" w:color="4F81BD" w:themeColor="accent1"/>
            </w:tcBorders>
            <w:shd w:val="clear" w:color="auto" w:fill="FFFFFF" w:themeFill="background1"/>
            <w:noWrap/>
            <w:vAlign w:val="bottom"/>
          </w:tcPr>
          <w:p w14:paraId="0908671A" w14:textId="0947B066" w:rsidR="004E7138" w:rsidRPr="0008162E" w:rsidRDefault="004E7138" w:rsidP="004E7138">
            <w:pPr>
              <w:keepNext/>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BFBFBF" w:themeColor="background1" w:themeShade="BF"/>
                <w:sz w:val="20"/>
                <w:szCs w:val="20"/>
                <w:lang w:eastAsia="en-US"/>
              </w:rPr>
            </w:pPr>
            <w:r w:rsidRPr="0008162E">
              <w:rPr>
                <w:rFonts w:cs="Calibri"/>
                <w:sz w:val="20"/>
                <w:szCs w:val="20"/>
              </w:rPr>
              <w:t>-0.</w:t>
            </w:r>
            <w:r w:rsidR="00350858">
              <w:rPr>
                <w:rFonts w:cs="Calibri"/>
                <w:sz w:val="20"/>
                <w:szCs w:val="20"/>
              </w:rPr>
              <w:t>14</w:t>
            </w:r>
            <w:r w:rsidRPr="0008162E">
              <w:rPr>
                <w:rFonts w:cs="Calibri"/>
                <w:sz w:val="20"/>
                <w:szCs w:val="20"/>
              </w:rPr>
              <w:t>%</w:t>
            </w:r>
          </w:p>
        </w:tc>
      </w:tr>
    </w:tbl>
    <w:p w14:paraId="0E8A6275" w14:textId="77777777" w:rsidR="00F22870" w:rsidRDefault="00F22870" w:rsidP="00F22870">
      <w:pPr>
        <w:autoSpaceDE w:val="0"/>
        <w:autoSpaceDN w:val="0"/>
        <w:adjustRightInd w:val="0"/>
        <w:spacing w:after="0" w:line="240" w:lineRule="auto"/>
        <w:jc w:val="both"/>
        <w:rPr>
          <w:rFonts w:cs="Calibri"/>
          <w:sz w:val="21"/>
          <w:szCs w:val="21"/>
        </w:rPr>
      </w:pPr>
    </w:p>
    <w:p w14:paraId="6DEFDAC6" w14:textId="0EE2EF6B" w:rsidR="00F22870" w:rsidRPr="00793230" w:rsidRDefault="00F22870" w:rsidP="00F22870">
      <w:pPr>
        <w:pStyle w:val="Caption"/>
        <w:rPr>
          <w:rFonts w:cs="Calibri"/>
          <w:color w:val="4F81BD"/>
          <w:sz w:val="20"/>
          <w:szCs w:val="20"/>
        </w:rPr>
      </w:pPr>
      <w:r w:rsidRPr="00793230">
        <w:rPr>
          <w:rFonts w:cs="Calibri"/>
          <w:color w:val="4F81BD"/>
          <w:sz w:val="20"/>
          <w:szCs w:val="20"/>
        </w:rPr>
        <w:t xml:space="preserve">Table </w:t>
      </w:r>
      <w:r w:rsidRPr="00793230">
        <w:rPr>
          <w:rFonts w:cs="Calibri"/>
          <w:color w:val="4F81BD"/>
          <w:sz w:val="20"/>
          <w:szCs w:val="20"/>
        </w:rPr>
        <w:fldChar w:fldCharType="begin"/>
      </w:r>
      <w:r w:rsidRPr="00793230">
        <w:rPr>
          <w:rFonts w:cs="Calibri"/>
          <w:color w:val="4F81BD"/>
          <w:sz w:val="20"/>
          <w:szCs w:val="20"/>
        </w:rPr>
        <w:instrText>SEQ Table \* ARABIC</w:instrText>
      </w:r>
      <w:r w:rsidRPr="00793230">
        <w:rPr>
          <w:rFonts w:cs="Calibri"/>
          <w:color w:val="4F81BD"/>
          <w:sz w:val="20"/>
          <w:szCs w:val="20"/>
        </w:rPr>
        <w:fldChar w:fldCharType="separate"/>
      </w:r>
      <w:r w:rsidR="00F573DA" w:rsidRPr="00793230">
        <w:rPr>
          <w:rFonts w:cs="Calibri"/>
          <w:color w:val="4F81BD"/>
          <w:sz w:val="20"/>
          <w:szCs w:val="20"/>
        </w:rPr>
        <w:t>4</w:t>
      </w:r>
      <w:r w:rsidRPr="00793230">
        <w:rPr>
          <w:rFonts w:cs="Calibri"/>
          <w:color w:val="4F81BD"/>
          <w:sz w:val="20"/>
          <w:szCs w:val="20"/>
        </w:rPr>
        <w:fldChar w:fldCharType="end"/>
      </w:r>
      <w:r w:rsidRPr="00793230">
        <w:rPr>
          <w:rFonts w:cs="Calibri"/>
          <w:color w:val="4F81BD"/>
          <w:sz w:val="20"/>
          <w:szCs w:val="20"/>
        </w:rPr>
        <w:t>. Residential All Programs w/o HERs – Rate and Bill Impact Analysis – A-16 (202</w:t>
      </w:r>
      <w:r w:rsidR="003A342F">
        <w:rPr>
          <w:rFonts w:cs="Calibri"/>
          <w:color w:val="4F81BD"/>
          <w:sz w:val="20"/>
          <w:szCs w:val="20"/>
        </w:rPr>
        <w:t>4</w:t>
      </w:r>
      <w:r w:rsidRPr="00793230">
        <w:rPr>
          <w:rFonts w:cs="Calibri"/>
          <w:color w:val="4F81BD"/>
          <w:sz w:val="20"/>
          <w:szCs w:val="20"/>
        </w:rPr>
        <w:t xml:space="preserve"> EE Plan vs. No EE)</w:t>
      </w:r>
    </w:p>
    <w:tbl>
      <w:tblPr>
        <w:tblStyle w:val="GridTable4-Accent1"/>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2213"/>
        <w:gridCol w:w="2461"/>
        <w:gridCol w:w="2338"/>
        <w:gridCol w:w="2338"/>
      </w:tblGrid>
      <w:tr w:rsidR="00F22870" w:rsidRPr="003D0109" w14:paraId="47F39661" w14:textId="77777777" w:rsidTr="005A7813">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83" w:type="pct"/>
            <w:vMerge w:val="restart"/>
            <w:tcBorders>
              <w:bottom w:val="nil"/>
            </w:tcBorders>
            <w:hideMark/>
          </w:tcPr>
          <w:p w14:paraId="56FD5719" w14:textId="2378D7EC" w:rsidR="00F22870" w:rsidRPr="003D0109" w:rsidRDefault="00F22870" w:rsidP="00477C28">
            <w:pPr>
              <w:keepNext/>
              <w:spacing w:after="0" w:line="240" w:lineRule="auto"/>
              <w:rPr>
                <w:rFonts w:eastAsia="Times New Roman" w:cs="Arial"/>
                <w:b w:val="0"/>
                <w:sz w:val="20"/>
                <w:szCs w:val="20"/>
                <w:lang w:eastAsia="en-US"/>
              </w:rPr>
            </w:pPr>
            <w:r w:rsidRPr="003D0109">
              <w:rPr>
                <w:rFonts w:eastAsia="Times New Roman" w:cs="Arial"/>
                <w:sz w:val="20"/>
                <w:szCs w:val="20"/>
                <w:lang w:eastAsia="en-US"/>
              </w:rPr>
              <w:t>Residential (All Programs w/o HERs)</w:t>
            </w:r>
          </w:p>
        </w:tc>
        <w:tc>
          <w:tcPr>
            <w:tcW w:w="1316" w:type="pct"/>
            <w:tcBorders>
              <w:bottom w:val="nil"/>
            </w:tcBorders>
            <w:hideMark/>
          </w:tcPr>
          <w:p w14:paraId="50034E38" w14:textId="6D9197DF" w:rsidR="00F22870" w:rsidRPr="003D0109" w:rsidRDefault="00F22870" w:rsidP="00477C28">
            <w:pPr>
              <w:keepNext/>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n-US"/>
              </w:rPr>
            </w:pPr>
            <w:r w:rsidRPr="003D0109">
              <w:rPr>
                <w:rFonts w:eastAsia="Times New Roman" w:cs="Arial"/>
                <w:sz w:val="20"/>
                <w:szCs w:val="20"/>
                <w:lang w:eastAsia="en-US"/>
              </w:rPr>
              <w:t>Long-Term Rate Impacts</w:t>
            </w:r>
            <w:r w:rsidR="005B2F3B" w:rsidRPr="0008162E">
              <w:rPr>
                <w:rFonts w:eastAsia="Times New Roman" w:cs="Arial"/>
                <w:sz w:val="20"/>
                <w:szCs w:val="20"/>
                <w:vertAlign w:val="superscript"/>
                <w:lang w:eastAsia="en-US"/>
              </w:rPr>
              <w:fldChar w:fldCharType="begin"/>
            </w:r>
            <w:r w:rsidR="005B2F3B" w:rsidRPr="0008162E">
              <w:rPr>
                <w:rFonts w:eastAsia="Times New Roman" w:cs="Arial"/>
                <w:sz w:val="20"/>
                <w:szCs w:val="20"/>
                <w:vertAlign w:val="superscript"/>
                <w:lang w:eastAsia="en-US"/>
              </w:rPr>
              <w:instrText xml:space="preserve"> NOTEREF _Ref114150728 \h </w:instrText>
            </w:r>
            <w:r w:rsidR="005B2F3B" w:rsidRPr="003D0109">
              <w:rPr>
                <w:rFonts w:eastAsia="Times New Roman" w:cs="Arial"/>
                <w:sz w:val="20"/>
                <w:szCs w:val="20"/>
                <w:vertAlign w:val="superscript"/>
                <w:lang w:eastAsia="en-US"/>
              </w:rPr>
              <w:instrText xml:space="preserve"> \* MERGEFORMAT </w:instrText>
            </w:r>
            <w:r w:rsidR="005B2F3B" w:rsidRPr="0008162E">
              <w:rPr>
                <w:rFonts w:eastAsia="Times New Roman" w:cs="Arial"/>
                <w:sz w:val="20"/>
                <w:szCs w:val="20"/>
                <w:vertAlign w:val="superscript"/>
                <w:lang w:eastAsia="en-US"/>
              </w:rPr>
            </w:r>
            <w:r w:rsidR="005B2F3B" w:rsidRPr="0008162E">
              <w:rPr>
                <w:rFonts w:eastAsia="Times New Roman" w:cs="Arial"/>
                <w:sz w:val="20"/>
                <w:szCs w:val="20"/>
                <w:vertAlign w:val="superscript"/>
                <w:lang w:eastAsia="en-US"/>
              </w:rPr>
              <w:fldChar w:fldCharType="separate"/>
            </w:r>
            <w:r w:rsidR="005B2F3B" w:rsidRPr="0008162E">
              <w:rPr>
                <w:rFonts w:eastAsia="Times New Roman" w:cs="Arial"/>
                <w:sz w:val="20"/>
                <w:szCs w:val="20"/>
                <w:vertAlign w:val="superscript"/>
                <w:lang w:eastAsia="en-US"/>
              </w:rPr>
              <w:t>6</w:t>
            </w:r>
            <w:r w:rsidR="005B2F3B" w:rsidRPr="0008162E">
              <w:rPr>
                <w:rFonts w:eastAsia="Times New Roman" w:cs="Arial"/>
                <w:sz w:val="20"/>
                <w:szCs w:val="20"/>
                <w:vertAlign w:val="superscript"/>
                <w:lang w:eastAsia="en-US"/>
              </w:rPr>
              <w:fldChar w:fldCharType="end"/>
            </w:r>
          </w:p>
        </w:tc>
        <w:tc>
          <w:tcPr>
            <w:tcW w:w="1250" w:type="pct"/>
            <w:tcBorders>
              <w:bottom w:val="nil"/>
            </w:tcBorders>
            <w:hideMark/>
          </w:tcPr>
          <w:p w14:paraId="29DCA904" w14:textId="77777777" w:rsidR="00F22870" w:rsidRPr="003D0109" w:rsidRDefault="00F22870" w:rsidP="00477C28">
            <w:pPr>
              <w:keepNext/>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n-US"/>
              </w:rPr>
            </w:pPr>
            <w:r w:rsidRPr="003D0109">
              <w:rPr>
                <w:rFonts w:eastAsia="Times New Roman" w:cs="Arial"/>
                <w:sz w:val="20"/>
                <w:szCs w:val="20"/>
                <w:lang w:eastAsia="en-US"/>
              </w:rPr>
              <w:t>Typical Energy Savings</w:t>
            </w:r>
          </w:p>
        </w:tc>
        <w:tc>
          <w:tcPr>
            <w:tcW w:w="1250" w:type="pct"/>
            <w:tcBorders>
              <w:bottom w:val="nil"/>
            </w:tcBorders>
            <w:hideMark/>
          </w:tcPr>
          <w:p w14:paraId="114CBCCC" w14:textId="77777777" w:rsidR="00F22870" w:rsidRPr="003D0109" w:rsidRDefault="00F22870" w:rsidP="00477C28">
            <w:pPr>
              <w:keepNext/>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n-US"/>
              </w:rPr>
            </w:pPr>
            <w:r w:rsidRPr="003D0109">
              <w:rPr>
                <w:rFonts w:eastAsia="Times New Roman" w:cs="Arial"/>
                <w:sz w:val="20"/>
                <w:szCs w:val="20"/>
                <w:lang w:eastAsia="en-US"/>
              </w:rPr>
              <w:t>Typical Bill Savings</w:t>
            </w:r>
          </w:p>
        </w:tc>
      </w:tr>
      <w:tr w:rsidR="00F22870" w:rsidRPr="003D0109" w14:paraId="7C489EE1" w14:textId="77777777" w:rsidTr="005A781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83" w:type="pct"/>
            <w:vMerge/>
            <w:tcBorders>
              <w:top w:val="nil"/>
              <w:bottom w:val="nil"/>
            </w:tcBorders>
            <w:noWrap/>
            <w:hideMark/>
          </w:tcPr>
          <w:p w14:paraId="66DCF0E3" w14:textId="77777777" w:rsidR="00F22870" w:rsidRPr="003D0109" w:rsidRDefault="00F22870" w:rsidP="00477C28">
            <w:pPr>
              <w:keepNext/>
              <w:spacing w:after="0" w:line="240" w:lineRule="auto"/>
              <w:rPr>
                <w:rFonts w:eastAsia="Times New Roman" w:cs="Arial"/>
                <w:b w:val="0"/>
                <w:sz w:val="20"/>
                <w:szCs w:val="20"/>
                <w:lang w:eastAsia="en-US"/>
              </w:rPr>
            </w:pPr>
          </w:p>
        </w:tc>
        <w:tc>
          <w:tcPr>
            <w:tcW w:w="1316" w:type="pct"/>
            <w:tcBorders>
              <w:top w:val="nil"/>
              <w:bottom w:val="nil"/>
            </w:tcBorders>
            <w:shd w:val="clear" w:color="auto" w:fill="4F81BD" w:themeFill="accent1"/>
            <w:noWrap/>
            <w:hideMark/>
          </w:tcPr>
          <w:p w14:paraId="451212A6" w14:textId="77777777" w:rsidR="00F22870" w:rsidRPr="003D0109" w:rsidRDefault="00F22870" w:rsidP="00477C28">
            <w:pPr>
              <w:keepNext/>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FFFFFF" w:themeColor="background1"/>
                <w:sz w:val="20"/>
                <w:szCs w:val="20"/>
                <w:lang w:eastAsia="en-US"/>
              </w:rPr>
            </w:pPr>
            <w:r w:rsidRPr="003D0109">
              <w:rPr>
                <w:rFonts w:eastAsia="Times New Roman" w:cs="Arial"/>
                <w:b/>
                <w:color w:val="FFFFFF" w:themeColor="background1"/>
                <w:sz w:val="20"/>
                <w:szCs w:val="20"/>
                <w:lang w:eastAsia="en-US"/>
              </w:rPr>
              <w:t>(% of Total Rate)</w:t>
            </w:r>
          </w:p>
        </w:tc>
        <w:tc>
          <w:tcPr>
            <w:tcW w:w="1250" w:type="pct"/>
            <w:tcBorders>
              <w:top w:val="nil"/>
              <w:bottom w:val="nil"/>
            </w:tcBorders>
            <w:shd w:val="clear" w:color="auto" w:fill="4F81BD" w:themeFill="accent1"/>
            <w:noWrap/>
            <w:hideMark/>
          </w:tcPr>
          <w:p w14:paraId="61625081" w14:textId="77777777" w:rsidR="00F22870" w:rsidRPr="003D0109" w:rsidRDefault="00F22870" w:rsidP="00477C28">
            <w:pPr>
              <w:keepNext/>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FFFFFF" w:themeColor="background1"/>
                <w:sz w:val="20"/>
                <w:szCs w:val="20"/>
                <w:lang w:eastAsia="en-US"/>
              </w:rPr>
            </w:pPr>
            <w:r w:rsidRPr="003D0109">
              <w:rPr>
                <w:rFonts w:eastAsia="Times New Roman" w:cs="Arial"/>
                <w:b/>
                <w:color w:val="FFFFFF" w:themeColor="background1"/>
                <w:sz w:val="20"/>
                <w:szCs w:val="20"/>
                <w:lang w:eastAsia="en-US"/>
              </w:rPr>
              <w:t>(% per Participant)</w:t>
            </w:r>
          </w:p>
        </w:tc>
        <w:tc>
          <w:tcPr>
            <w:tcW w:w="1250" w:type="pct"/>
            <w:tcBorders>
              <w:top w:val="nil"/>
              <w:bottom w:val="nil"/>
            </w:tcBorders>
            <w:shd w:val="clear" w:color="auto" w:fill="4F81BD" w:themeFill="accent1"/>
            <w:noWrap/>
            <w:hideMark/>
          </w:tcPr>
          <w:p w14:paraId="13B75BC7" w14:textId="77777777" w:rsidR="00F22870" w:rsidRPr="003D0109" w:rsidRDefault="00F22870" w:rsidP="00477C28">
            <w:pPr>
              <w:keepNext/>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FFFFFF" w:themeColor="background1"/>
                <w:sz w:val="20"/>
                <w:szCs w:val="20"/>
                <w:lang w:eastAsia="en-US"/>
              </w:rPr>
            </w:pPr>
            <w:r w:rsidRPr="003D0109">
              <w:rPr>
                <w:rFonts w:eastAsia="Times New Roman" w:cs="Arial"/>
                <w:b/>
                <w:color w:val="FFFFFF" w:themeColor="background1"/>
                <w:sz w:val="20"/>
                <w:szCs w:val="20"/>
                <w:lang w:eastAsia="en-US"/>
              </w:rPr>
              <w:t>(% of Total Bill)</w:t>
            </w:r>
          </w:p>
        </w:tc>
      </w:tr>
      <w:tr w:rsidR="009C116F" w:rsidRPr="003D0109" w14:paraId="0DEDF3F6" w14:textId="77777777" w:rsidTr="005A7813">
        <w:trPr>
          <w:trHeight w:val="288"/>
        </w:trPr>
        <w:tc>
          <w:tcPr>
            <w:cnfStyle w:val="001000000000" w:firstRow="0" w:lastRow="0" w:firstColumn="1" w:lastColumn="0" w:oddVBand="0" w:evenVBand="0" w:oddHBand="0" w:evenHBand="0" w:firstRowFirstColumn="0" w:firstRowLastColumn="0" w:lastRowFirstColumn="0" w:lastRowLastColumn="0"/>
            <w:tcW w:w="1183" w:type="pct"/>
            <w:tcBorders>
              <w:top w:val="nil"/>
              <w:bottom w:val="single" w:sz="4" w:space="0" w:color="4F81BD" w:themeColor="accent1"/>
            </w:tcBorders>
            <w:shd w:val="clear" w:color="auto" w:fill="FFFFFF" w:themeFill="background1"/>
            <w:noWrap/>
            <w:hideMark/>
          </w:tcPr>
          <w:p w14:paraId="090429C8" w14:textId="77777777" w:rsidR="009C116F" w:rsidRPr="003D0109" w:rsidRDefault="009C116F" w:rsidP="009C116F">
            <w:pPr>
              <w:keepNext/>
              <w:spacing w:after="0" w:line="240" w:lineRule="auto"/>
              <w:rPr>
                <w:rFonts w:eastAsia="Times New Roman" w:cs="Arial"/>
                <w:b w:val="0"/>
                <w:bCs w:val="0"/>
                <w:sz w:val="20"/>
                <w:szCs w:val="20"/>
                <w:lang w:eastAsia="en-US"/>
              </w:rPr>
            </w:pPr>
            <w:r w:rsidRPr="003D0109">
              <w:rPr>
                <w:rFonts w:eastAsia="Times New Roman" w:cs="Arial"/>
                <w:b w:val="0"/>
                <w:bCs w:val="0"/>
                <w:sz w:val="20"/>
                <w:szCs w:val="20"/>
                <w:lang w:eastAsia="en-US"/>
              </w:rPr>
              <w:t>Average Participant</w:t>
            </w:r>
          </w:p>
        </w:tc>
        <w:tc>
          <w:tcPr>
            <w:tcW w:w="1316" w:type="pct"/>
            <w:tcBorders>
              <w:top w:val="nil"/>
              <w:bottom w:val="single" w:sz="4" w:space="0" w:color="4F81BD" w:themeColor="accent1"/>
            </w:tcBorders>
            <w:shd w:val="clear" w:color="auto" w:fill="FFFFFF" w:themeFill="background1"/>
            <w:noWrap/>
            <w:vAlign w:val="bottom"/>
          </w:tcPr>
          <w:p w14:paraId="7FC3A3DC" w14:textId="6E042790" w:rsidR="009C116F" w:rsidRPr="0008162E" w:rsidRDefault="009C116F" w:rsidP="009C116F">
            <w:pPr>
              <w:keepNext/>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US"/>
              </w:rPr>
            </w:pPr>
            <w:r w:rsidRPr="00F00400">
              <w:rPr>
                <w:rFonts w:cs="Calibri"/>
                <w:sz w:val="20"/>
                <w:szCs w:val="20"/>
              </w:rPr>
              <w:t>0.</w:t>
            </w:r>
            <w:r w:rsidR="00624375">
              <w:rPr>
                <w:rFonts w:cs="Calibri"/>
                <w:sz w:val="20"/>
                <w:szCs w:val="20"/>
              </w:rPr>
              <w:t>14</w:t>
            </w:r>
            <w:r w:rsidRPr="00F00400">
              <w:rPr>
                <w:rFonts w:cs="Calibri"/>
                <w:sz w:val="20"/>
                <w:szCs w:val="20"/>
              </w:rPr>
              <w:t>%</w:t>
            </w:r>
          </w:p>
        </w:tc>
        <w:tc>
          <w:tcPr>
            <w:tcW w:w="1250" w:type="pct"/>
            <w:tcBorders>
              <w:top w:val="nil"/>
              <w:bottom w:val="single" w:sz="4" w:space="0" w:color="4F81BD" w:themeColor="accent1"/>
            </w:tcBorders>
            <w:shd w:val="clear" w:color="auto" w:fill="FFFFFF" w:themeFill="background1"/>
            <w:noWrap/>
            <w:vAlign w:val="bottom"/>
          </w:tcPr>
          <w:p w14:paraId="0F7236B2" w14:textId="5F104214" w:rsidR="009C116F" w:rsidRPr="0008162E" w:rsidRDefault="009C116F" w:rsidP="009C116F">
            <w:pPr>
              <w:keepNext/>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US"/>
              </w:rPr>
            </w:pPr>
            <w:r w:rsidRPr="00F00400">
              <w:rPr>
                <w:rFonts w:cs="Calibri"/>
                <w:sz w:val="20"/>
                <w:szCs w:val="20"/>
              </w:rPr>
              <w:t>-</w:t>
            </w:r>
            <w:r w:rsidR="00624375">
              <w:rPr>
                <w:rFonts w:cs="Calibri"/>
                <w:sz w:val="20"/>
                <w:szCs w:val="20"/>
              </w:rPr>
              <w:t>5</w:t>
            </w:r>
            <w:r w:rsidRPr="00F00400">
              <w:rPr>
                <w:rFonts w:cs="Calibri"/>
                <w:sz w:val="20"/>
                <w:szCs w:val="20"/>
              </w:rPr>
              <w:t>.</w:t>
            </w:r>
            <w:r w:rsidR="00624375">
              <w:rPr>
                <w:rFonts w:cs="Calibri"/>
                <w:sz w:val="20"/>
                <w:szCs w:val="20"/>
              </w:rPr>
              <w:t>00</w:t>
            </w:r>
            <w:r w:rsidRPr="00F00400">
              <w:rPr>
                <w:rFonts w:cs="Calibri"/>
                <w:sz w:val="20"/>
                <w:szCs w:val="20"/>
              </w:rPr>
              <w:t>%</w:t>
            </w:r>
          </w:p>
        </w:tc>
        <w:tc>
          <w:tcPr>
            <w:tcW w:w="1250" w:type="pct"/>
            <w:tcBorders>
              <w:top w:val="nil"/>
              <w:bottom w:val="single" w:sz="4" w:space="0" w:color="4F81BD" w:themeColor="accent1"/>
            </w:tcBorders>
            <w:shd w:val="clear" w:color="auto" w:fill="FFFFFF" w:themeFill="background1"/>
            <w:noWrap/>
            <w:vAlign w:val="bottom"/>
          </w:tcPr>
          <w:p w14:paraId="2BA9033D" w14:textId="61784668" w:rsidR="009C116F" w:rsidRPr="0008162E" w:rsidRDefault="009C116F" w:rsidP="009C116F">
            <w:pPr>
              <w:keepNext/>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US"/>
              </w:rPr>
            </w:pPr>
            <w:r w:rsidRPr="00F00400">
              <w:rPr>
                <w:rFonts w:cs="Calibri"/>
                <w:sz w:val="20"/>
                <w:szCs w:val="20"/>
              </w:rPr>
              <w:t>-4.8</w:t>
            </w:r>
            <w:r w:rsidR="00624375">
              <w:rPr>
                <w:rFonts w:cs="Calibri"/>
                <w:sz w:val="20"/>
                <w:szCs w:val="20"/>
              </w:rPr>
              <w:t>4</w:t>
            </w:r>
            <w:r w:rsidRPr="00F00400">
              <w:rPr>
                <w:rFonts w:cs="Calibri"/>
                <w:sz w:val="20"/>
                <w:szCs w:val="20"/>
              </w:rPr>
              <w:t>%</w:t>
            </w:r>
          </w:p>
        </w:tc>
      </w:tr>
      <w:tr w:rsidR="00624375" w:rsidRPr="003D0109" w14:paraId="28082444" w14:textId="77777777" w:rsidTr="005A781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83" w:type="pct"/>
            <w:tcBorders>
              <w:top w:val="single" w:sz="4" w:space="0" w:color="4F81BD" w:themeColor="accent1"/>
              <w:bottom w:val="single" w:sz="4" w:space="0" w:color="4F81BD" w:themeColor="accent1"/>
            </w:tcBorders>
            <w:shd w:val="clear" w:color="auto" w:fill="FFFFFF" w:themeFill="background1"/>
            <w:noWrap/>
            <w:hideMark/>
          </w:tcPr>
          <w:p w14:paraId="7CB4CBB3" w14:textId="77777777" w:rsidR="00624375" w:rsidRPr="003D0109" w:rsidRDefault="00624375" w:rsidP="00624375">
            <w:pPr>
              <w:keepNext/>
              <w:spacing w:after="0" w:line="240" w:lineRule="auto"/>
              <w:rPr>
                <w:rFonts w:eastAsia="Times New Roman" w:cs="Arial"/>
                <w:b w:val="0"/>
                <w:bCs w:val="0"/>
                <w:sz w:val="20"/>
                <w:szCs w:val="20"/>
                <w:lang w:eastAsia="en-US"/>
              </w:rPr>
            </w:pPr>
            <w:r w:rsidRPr="003D0109">
              <w:rPr>
                <w:rFonts w:eastAsia="Times New Roman" w:cs="Arial"/>
                <w:b w:val="0"/>
                <w:bCs w:val="0"/>
                <w:sz w:val="20"/>
                <w:szCs w:val="20"/>
                <w:lang w:eastAsia="en-US"/>
              </w:rPr>
              <w:t>Non-Participant</w:t>
            </w:r>
          </w:p>
        </w:tc>
        <w:tc>
          <w:tcPr>
            <w:tcW w:w="1316" w:type="pct"/>
            <w:tcBorders>
              <w:top w:val="single" w:sz="4" w:space="0" w:color="4F81BD" w:themeColor="accent1"/>
              <w:bottom w:val="single" w:sz="4" w:space="0" w:color="4F81BD" w:themeColor="accent1"/>
            </w:tcBorders>
            <w:shd w:val="clear" w:color="auto" w:fill="FFFFFF" w:themeFill="background1"/>
            <w:noWrap/>
            <w:vAlign w:val="bottom"/>
          </w:tcPr>
          <w:p w14:paraId="3EF7A017" w14:textId="6CA7DC7A" w:rsidR="00624375" w:rsidRPr="0008162E" w:rsidRDefault="00624375" w:rsidP="00624375">
            <w:pPr>
              <w:keepNext/>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US"/>
              </w:rPr>
            </w:pPr>
            <w:r w:rsidRPr="00F00400">
              <w:rPr>
                <w:rFonts w:cs="Calibri"/>
                <w:sz w:val="20"/>
                <w:szCs w:val="20"/>
              </w:rPr>
              <w:t>0.</w:t>
            </w:r>
            <w:r>
              <w:rPr>
                <w:rFonts w:cs="Calibri"/>
                <w:sz w:val="20"/>
                <w:szCs w:val="20"/>
              </w:rPr>
              <w:t>14</w:t>
            </w:r>
            <w:r w:rsidRPr="00F00400">
              <w:rPr>
                <w:rFonts w:cs="Calibri"/>
                <w:sz w:val="20"/>
                <w:szCs w:val="20"/>
              </w:rPr>
              <w:t>%</w:t>
            </w:r>
          </w:p>
        </w:tc>
        <w:tc>
          <w:tcPr>
            <w:tcW w:w="1250" w:type="pct"/>
            <w:tcBorders>
              <w:top w:val="single" w:sz="4" w:space="0" w:color="4F81BD" w:themeColor="accent1"/>
              <w:bottom w:val="single" w:sz="4" w:space="0" w:color="4F81BD" w:themeColor="accent1"/>
            </w:tcBorders>
            <w:shd w:val="clear" w:color="auto" w:fill="FFFFFF" w:themeFill="background1"/>
            <w:noWrap/>
            <w:vAlign w:val="bottom"/>
          </w:tcPr>
          <w:p w14:paraId="3CC57B2E" w14:textId="35ABB2DC" w:rsidR="00624375" w:rsidRPr="0008162E" w:rsidRDefault="00624375" w:rsidP="00624375">
            <w:pPr>
              <w:keepNext/>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US"/>
              </w:rPr>
            </w:pPr>
            <w:r w:rsidRPr="00F00400">
              <w:rPr>
                <w:rFonts w:cs="Calibri"/>
                <w:sz w:val="20"/>
                <w:szCs w:val="20"/>
              </w:rPr>
              <w:t>0.00%</w:t>
            </w:r>
          </w:p>
        </w:tc>
        <w:tc>
          <w:tcPr>
            <w:tcW w:w="1250" w:type="pct"/>
            <w:tcBorders>
              <w:top w:val="single" w:sz="4" w:space="0" w:color="4F81BD" w:themeColor="accent1"/>
              <w:bottom w:val="single" w:sz="4" w:space="0" w:color="4F81BD" w:themeColor="accent1"/>
            </w:tcBorders>
            <w:shd w:val="clear" w:color="auto" w:fill="FFFFFF" w:themeFill="background1"/>
            <w:noWrap/>
            <w:vAlign w:val="bottom"/>
          </w:tcPr>
          <w:p w14:paraId="7F1371F8" w14:textId="5BEF04B6" w:rsidR="00624375" w:rsidRPr="0008162E" w:rsidRDefault="00624375" w:rsidP="00624375">
            <w:pPr>
              <w:keepNext/>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US"/>
              </w:rPr>
            </w:pPr>
            <w:r w:rsidRPr="00F00400">
              <w:rPr>
                <w:rFonts w:cs="Calibri"/>
                <w:sz w:val="20"/>
                <w:szCs w:val="20"/>
              </w:rPr>
              <w:t>0.0</w:t>
            </w:r>
            <w:r>
              <w:rPr>
                <w:rFonts w:cs="Calibri"/>
                <w:sz w:val="20"/>
                <w:szCs w:val="20"/>
              </w:rPr>
              <w:t>9</w:t>
            </w:r>
            <w:r w:rsidRPr="00F00400">
              <w:rPr>
                <w:rFonts w:cs="Calibri"/>
                <w:sz w:val="20"/>
                <w:szCs w:val="20"/>
              </w:rPr>
              <w:t>%</w:t>
            </w:r>
          </w:p>
        </w:tc>
      </w:tr>
      <w:tr w:rsidR="00624375" w:rsidRPr="003D0109" w14:paraId="08656B80" w14:textId="77777777" w:rsidTr="005A7813">
        <w:trPr>
          <w:trHeight w:val="288"/>
        </w:trPr>
        <w:tc>
          <w:tcPr>
            <w:cnfStyle w:val="001000000000" w:firstRow="0" w:lastRow="0" w:firstColumn="1" w:lastColumn="0" w:oddVBand="0" w:evenVBand="0" w:oddHBand="0" w:evenHBand="0" w:firstRowFirstColumn="0" w:firstRowLastColumn="0" w:lastRowFirstColumn="0" w:lastRowLastColumn="0"/>
            <w:tcW w:w="1183" w:type="pct"/>
            <w:tcBorders>
              <w:top w:val="single" w:sz="4" w:space="0" w:color="4F81BD" w:themeColor="accent1"/>
              <w:bottom w:val="single" w:sz="4" w:space="0" w:color="4F81BD" w:themeColor="accent1"/>
            </w:tcBorders>
            <w:shd w:val="clear" w:color="auto" w:fill="FFFFFF" w:themeFill="background1"/>
            <w:noWrap/>
            <w:hideMark/>
          </w:tcPr>
          <w:p w14:paraId="5B641134" w14:textId="77777777" w:rsidR="00624375" w:rsidRPr="003D0109" w:rsidRDefault="00624375" w:rsidP="00624375">
            <w:pPr>
              <w:keepNext/>
              <w:spacing w:after="0" w:line="240" w:lineRule="auto"/>
              <w:rPr>
                <w:rFonts w:eastAsia="Times New Roman" w:cs="Arial"/>
                <w:b w:val="0"/>
                <w:bCs w:val="0"/>
                <w:sz w:val="20"/>
                <w:szCs w:val="20"/>
                <w:lang w:eastAsia="en-US"/>
              </w:rPr>
            </w:pPr>
            <w:r w:rsidRPr="003D0109">
              <w:rPr>
                <w:rFonts w:eastAsia="Times New Roman" w:cs="Arial"/>
                <w:b w:val="0"/>
                <w:bCs w:val="0"/>
                <w:sz w:val="20"/>
                <w:szCs w:val="20"/>
                <w:lang w:eastAsia="en-US"/>
              </w:rPr>
              <w:t>Average Customer</w:t>
            </w:r>
          </w:p>
        </w:tc>
        <w:tc>
          <w:tcPr>
            <w:tcW w:w="1316" w:type="pct"/>
            <w:tcBorders>
              <w:top w:val="single" w:sz="4" w:space="0" w:color="4F81BD" w:themeColor="accent1"/>
              <w:bottom w:val="single" w:sz="4" w:space="0" w:color="4F81BD" w:themeColor="accent1"/>
            </w:tcBorders>
            <w:shd w:val="clear" w:color="auto" w:fill="FFFFFF" w:themeFill="background1"/>
            <w:noWrap/>
            <w:vAlign w:val="bottom"/>
          </w:tcPr>
          <w:p w14:paraId="28F4E331" w14:textId="71E68C23" w:rsidR="00624375" w:rsidRPr="0008162E" w:rsidRDefault="00624375" w:rsidP="00624375">
            <w:pPr>
              <w:keepNext/>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US"/>
              </w:rPr>
            </w:pPr>
            <w:r w:rsidRPr="00F00400">
              <w:rPr>
                <w:rFonts w:cs="Calibri"/>
                <w:sz w:val="20"/>
                <w:szCs w:val="20"/>
              </w:rPr>
              <w:t>0.</w:t>
            </w:r>
            <w:r>
              <w:rPr>
                <w:rFonts w:cs="Calibri"/>
                <w:sz w:val="20"/>
                <w:szCs w:val="20"/>
              </w:rPr>
              <w:t>14</w:t>
            </w:r>
            <w:r w:rsidRPr="00F00400">
              <w:rPr>
                <w:rFonts w:cs="Calibri"/>
                <w:sz w:val="20"/>
                <w:szCs w:val="20"/>
              </w:rPr>
              <w:t>%</w:t>
            </w:r>
          </w:p>
        </w:tc>
        <w:tc>
          <w:tcPr>
            <w:tcW w:w="1250" w:type="pct"/>
            <w:tcBorders>
              <w:top w:val="single" w:sz="4" w:space="0" w:color="4F81BD" w:themeColor="accent1"/>
              <w:bottom w:val="single" w:sz="4" w:space="0" w:color="4F81BD" w:themeColor="accent1"/>
            </w:tcBorders>
            <w:shd w:val="clear" w:color="auto" w:fill="FFFFFF" w:themeFill="background1"/>
            <w:noWrap/>
            <w:vAlign w:val="bottom"/>
          </w:tcPr>
          <w:p w14:paraId="55BC8679" w14:textId="3F732E55" w:rsidR="00624375" w:rsidRPr="0008162E" w:rsidRDefault="00624375" w:rsidP="00624375">
            <w:pPr>
              <w:keepNext/>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US"/>
              </w:rPr>
            </w:pPr>
            <w:r w:rsidRPr="00F00400">
              <w:rPr>
                <w:rFonts w:cs="Calibri"/>
                <w:sz w:val="20"/>
                <w:szCs w:val="20"/>
              </w:rPr>
              <w:t>-0.</w:t>
            </w:r>
            <w:r>
              <w:rPr>
                <w:rFonts w:cs="Calibri"/>
                <w:sz w:val="20"/>
                <w:szCs w:val="20"/>
              </w:rPr>
              <w:t>21</w:t>
            </w:r>
            <w:r w:rsidRPr="00F00400">
              <w:rPr>
                <w:rFonts w:cs="Calibri"/>
                <w:sz w:val="20"/>
                <w:szCs w:val="20"/>
              </w:rPr>
              <w:t>%</w:t>
            </w:r>
          </w:p>
        </w:tc>
        <w:tc>
          <w:tcPr>
            <w:tcW w:w="1250" w:type="pct"/>
            <w:tcBorders>
              <w:top w:val="single" w:sz="4" w:space="0" w:color="4F81BD" w:themeColor="accent1"/>
              <w:bottom w:val="single" w:sz="4" w:space="0" w:color="4F81BD" w:themeColor="accent1"/>
            </w:tcBorders>
            <w:shd w:val="clear" w:color="auto" w:fill="FFFFFF" w:themeFill="background1"/>
            <w:noWrap/>
            <w:vAlign w:val="bottom"/>
          </w:tcPr>
          <w:p w14:paraId="3C7FA839" w14:textId="00EC5C85" w:rsidR="00624375" w:rsidRPr="0008162E" w:rsidRDefault="00624375" w:rsidP="00624375">
            <w:pPr>
              <w:keepNext/>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US"/>
              </w:rPr>
            </w:pPr>
            <w:r w:rsidRPr="00F00400">
              <w:rPr>
                <w:rFonts w:cs="Calibri"/>
                <w:sz w:val="20"/>
                <w:szCs w:val="20"/>
              </w:rPr>
              <w:t>-0.</w:t>
            </w:r>
            <w:r>
              <w:rPr>
                <w:rFonts w:cs="Calibri"/>
                <w:sz w:val="20"/>
                <w:szCs w:val="20"/>
              </w:rPr>
              <w:t>1</w:t>
            </w:r>
            <w:r w:rsidRPr="00F00400">
              <w:rPr>
                <w:rFonts w:cs="Calibri"/>
                <w:sz w:val="20"/>
                <w:szCs w:val="20"/>
              </w:rPr>
              <w:t>2%</w:t>
            </w:r>
          </w:p>
        </w:tc>
      </w:tr>
    </w:tbl>
    <w:p w14:paraId="35D9CA58" w14:textId="77777777" w:rsidR="00F22870" w:rsidRDefault="00F22870" w:rsidP="00F22870">
      <w:pPr>
        <w:autoSpaceDE w:val="0"/>
        <w:autoSpaceDN w:val="0"/>
        <w:adjustRightInd w:val="0"/>
        <w:spacing w:after="0" w:line="240" w:lineRule="auto"/>
        <w:jc w:val="both"/>
        <w:rPr>
          <w:rFonts w:cs="Calibri"/>
          <w:sz w:val="21"/>
          <w:szCs w:val="21"/>
        </w:rPr>
      </w:pPr>
    </w:p>
    <w:p w14:paraId="7F345853" w14:textId="03AFA243" w:rsidR="00F22870" w:rsidRPr="00793230" w:rsidRDefault="00F22870" w:rsidP="00F22870">
      <w:pPr>
        <w:pStyle w:val="Caption"/>
        <w:rPr>
          <w:rFonts w:cs="Calibri"/>
          <w:color w:val="4F81BD"/>
          <w:sz w:val="20"/>
          <w:szCs w:val="20"/>
        </w:rPr>
      </w:pPr>
      <w:r w:rsidRPr="00793230">
        <w:rPr>
          <w:rFonts w:cs="Calibri"/>
          <w:color w:val="4F81BD"/>
          <w:sz w:val="20"/>
          <w:szCs w:val="20"/>
        </w:rPr>
        <w:t xml:space="preserve">Table </w:t>
      </w:r>
      <w:r w:rsidRPr="00793230">
        <w:rPr>
          <w:rFonts w:cs="Calibri"/>
          <w:color w:val="4F81BD"/>
          <w:sz w:val="20"/>
          <w:szCs w:val="20"/>
        </w:rPr>
        <w:fldChar w:fldCharType="begin"/>
      </w:r>
      <w:r w:rsidRPr="00793230">
        <w:rPr>
          <w:rFonts w:cs="Calibri"/>
          <w:color w:val="4F81BD"/>
          <w:sz w:val="20"/>
          <w:szCs w:val="20"/>
        </w:rPr>
        <w:instrText>SEQ Table \* ARABIC</w:instrText>
      </w:r>
      <w:r w:rsidRPr="00793230">
        <w:rPr>
          <w:rFonts w:cs="Calibri"/>
          <w:color w:val="4F81BD"/>
          <w:sz w:val="20"/>
          <w:szCs w:val="20"/>
        </w:rPr>
        <w:fldChar w:fldCharType="separate"/>
      </w:r>
      <w:r w:rsidR="00F573DA" w:rsidRPr="00793230">
        <w:rPr>
          <w:rFonts w:cs="Calibri"/>
          <w:color w:val="4F81BD"/>
          <w:sz w:val="20"/>
          <w:szCs w:val="20"/>
        </w:rPr>
        <w:t>5</w:t>
      </w:r>
      <w:r w:rsidRPr="00793230">
        <w:rPr>
          <w:rFonts w:cs="Calibri"/>
          <w:color w:val="4F81BD"/>
          <w:sz w:val="20"/>
          <w:szCs w:val="20"/>
        </w:rPr>
        <w:fldChar w:fldCharType="end"/>
      </w:r>
      <w:r w:rsidRPr="00793230">
        <w:rPr>
          <w:rFonts w:cs="Calibri"/>
          <w:color w:val="4F81BD"/>
          <w:sz w:val="20"/>
          <w:szCs w:val="20"/>
        </w:rPr>
        <w:t xml:space="preserve">. Residential All Programs </w:t>
      </w:r>
      <w:r w:rsidR="00102E3B" w:rsidRPr="00793230">
        <w:rPr>
          <w:rFonts w:cs="Calibri"/>
          <w:color w:val="4F81BD"/>
          <w:sz w:val="20"/>
          <w:szCs w:val="20"/>
        </w:rPr>
        <w:t>HERs Only</w:t>
      </w:r>
      <w:r w:rsidRPr="00793230">
        <w:rPr>
          <w:rFonts w:cs="Calibri"/>
          <w:color w:val="4F81BD"/>
          <w:sz w:val="20"/>
          <w:szCs w:val="20"/>
        </w:rPr>
        <w:t xml:space="preserve"> – Rate and Bill Impact Analysis – A-16 (202</w:t>
      </w:r>
      <w:r w:rsidR="00897533">
        <w:rPr>
          <w:rFonts w:cs="Calibri"/>
          <w:color w:val="4F81BD"/>
          <w:sz w:val="20"/>
          <w:szCs w:val="20"/>
        </w:rPr>
        <w:t>4</w:t>
      </w:r>
      <w:r w:rsidRPr="00793230">
        <w:rPr>
          <w:rFonts w:cs="Calibri"/>
          <w:color w:val="4F81BD"/>
          <w:sz w:val="20"/>
          <w:szCs w:val="20"/>
        </w:rPr>
        <w:t xml:space="preserve"> EE Plan vs. No EE)</w:t>
      </w:r>
    </w:p>
    <w:tbl>
      <w:tblPr>
        <w:tblStyle w:val="ListTable4-Accent1"/>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tblBorders>
        <w:tblLook w:val="04A0" w:firstRow="1" w:lastRow="0" w:firstColumn="1" w:lastColumn="0" w:noHBand="0" w:noVBand="1"/>
      </w:tblPr>
      <w:tblGrid>
        <w:gridCol w:w="2213"/>
        <w:gridCol w:w="2461"/>
        <w:gridCol w:w="2338"/>
        <w:gridCol w:w="2338"/>
      </w:tblGrid>
      <w:tr w:rsidR="00F22870" w:rsidRPr="003D0109" w14:paraId="324625FC" w14:textId="77777777" w:rsidTr="00794303">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83" w:type="pct"/>
            <w:vMerge w:val="restart"/>
            <w:tcBorders>
              <w:bottom w:val="nil"/>
            </w:tcBorders>
            <w:hideMark/>
          </w:tcPr>
          <w:p w14:paraId="648279FA" w14:textId="24E4F790" w:rsidR="00F22870" w:rsidRPr="003D0109" w:rsidRDefault="00F22870" w:rsidP="00477C28">
            <w:pPr>
              <w:keepNext/>
              <w:spacing w:after="0" w:line="240" w:lineRule="auto"/>
              <w:rPr>
                <w:rFonts w:eastAsia="Times New Roman" w:cs="Arial"/>
                <w:b w:val="0"/>
                <w:sz w:val="20"/>
                <w:szCs w:val="20"/>
                <w:lang w:eastAsia="en-US"/>
              </w:rPr>
            </w:pPr>
            <w:r w:rsidRPr="003D0109">
              <w:rPr>
                <w:rFonts w:eastAsia="Times New Roman" w:cs="Arial"/>
                <w:sz w:val="20"/>
                <w:szCs w:val="20"/>
                <w:lang w:eastAsia="en-US"/>
              </w:rPr>
              <w:t>Residential (HERs Only)</w:t>
            </w:r>
          </w:p>
        </w:tc>
        <w:tc>
          <w:tcPr>
            <w:tcW w:w="1316" w:type="pct"/>
            <w:tcBorders>
              <w:bottom w:val="nil"/>
            </w:tcBorders>
            <w:hideMark/>
          </w:tcPr>
          <w:p w14:paraId="7C8E59A9" w14:textId="77777777" w:rsidR="00F22870" w:rsidRPr="003D0109" w:rsidRDefault="00F22870" w:rsidP="00477C28">
            <w:pPr>
              <w:keepNext/>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n-US"/>
              </w:rPr>
            </w:pPr>
            <w:r w:rsidRPr="003D0109">
              <w:rPr>
                <w:rFonts w:eastAsia="Times New Roman" w:cs="Arial"/>
                <w:sz w:val="20"/>
                <w:szCs w:val="20"/>
                <w:lang w:eastAsia="en-US"/>
              </w:rPr>
              <w:t>Long-Term Rate Impacts</w:t>
            </w:r>
          </w:p>
        </w:tc>
        <w:tc>
          <w:tcPr>
            <w:tcW w:w="1250" w:type="pct"/>
            <w:tcBorders>
              <w:bottom w:val="nil"/>
            </w:tcBorders>
            <w:hideMark/>
          </w:tcPr>
          <w:p w14:paraId="7C12B388" w14:textId="77777777" w:rsidR="00F22870" w:rsidRPr="003D0109" w:rsidRDefault="00F22870" w:rsidP="00477C28">
            <w:pPr>
              <w:keepNext/>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n-US"/>
              </w:rPr>
            </w:pPr>
            <w:r w:rsidRPr="003D0109">
              <w:rPr>
                <w:rFonts w:eastAsia="Times New Roman" w:cs="Arial"/>
                <w:sz w:val="20"/>
                <w:szCs w:val="20"/>
                <w:lang w:eastAsia="en-US"/>
              </w:rPr>
              <w:t>Typical Energy Savings</w:t>
            </w:r>
          </w:p>
        </w:tc>
        <w:tc>
          <w:tcPr>
            <w:tcW w:w="1250" w:type="pct"/>
            <w:tcBorders>
              <w:bottom w:val="nil"/>
            </w:tcBorders>
            <w:hideMark/>
          </w:tcPr>
          <w:p w14:paraId="747E7472" w14:textId="77777777" w:rsidR="00F22870" w:rsidRPr="003D0109" w:rsidRDefault="00F22870" w:rsidP="00477C28">
            <w:pPr>
              <w:keepNext/>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n-US"/>
              </w:rPr>
            </w:pPr>
            <w:r w:rsidRPr="003D0109">
              <w:rPr>
                <w:rFonts w:eastAsia="Times New Roman" w:cs="Arial"/>
                <w:sz w:val="20"/>
                <w:szCs w:val="20"/>
                <w:lang w:eastAsia="en-US"/>
              </w:rPr>
              <w:t>Typical Bill Savings</w:t>
            </w:r>
          </w:p>
        </w:tc>
      </w:tr>
      <w:tr w:rsidR="00F22870" w:rsidRPr="003D0109" w14:paraId="300BB229" w14:textId="77777777" w:rsidTr="0079430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83" w:type="pct"/>
            <w:vMerge/>
            <w:tcBorders>
              <w:top w:val="nil"/>
              <w:bottom w:val="nil"/>
            </w:tcBorders>
            <w:noWrap/>
            <w:hideMark/>
          </w:tcPr>
          <w:p w14:paraId="482C1607" w14:textId="77777777" w:rsidR="00F22870" w:rsidRPr="003D0109" w:rsidRDefault="00F22870" w:rsidP="00477C28">
            <w:pPr>
              <w:keepNext/>
              <w:spacing w:after="0" w:line="240" w:lineRule="auto"/>
              <w:rPr>
                <w:rFonts w:eastAsia="Times New Roman" w:cs="Arial"/>
                <w:b w:val="0"/>
                <w:sz w:val="20"/>
                <w:szCs w:val="20"/>
                <w:lang w:eastAsia="en-US"/>
              </w:rPr>
            </w:pPr>
          </w:p>
        </w:tc>
        <w:tc>
          <w:tcPr>
            <w:tcW w:w="1316" w:type="pct"/>
            <w:tcBorders>
              <w:top w:val="nil"/>
              <w:bottom w:val="nil"/>
            </w:tcBorders>
            <w:shd w:val="clear" w:color="auto" w:fill="4F81BD" w:themeFill="accent1"/>
            <w:noWrap/>
            <w:hideMark/>
          </w:tcPr>
          <w:p w14:paraId="5E55F072" w14:textId="77777777" w:rsidR="00F22870" w:rsidRPr="003D0109" w:rsidRDefault="00F22870" w:rsidP="00477C28">
            <w:pPr>
              <w:keepNext/>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FFFFFF" w:themeColor="background1"/>
                <w:sz w:val="20"/>
                <w:szCs w:val="20"/>
                <w:lang w:eastAsia="en-US"/>
              </w:rPr>
            </w:pPr>
            <w:r w:rsidRPr="003D0109">
              <w:rPr>
                <w:rFonts w:eastAsia="Times New Roman" w:cs="Arial"/>
                <w:b/>
                <w:color w:val="FFFFFF" w:themeColor="background1"/>
                <w:sz w:val="20"/>
                <w:szCs w:val="20"/>
                <w:lang w:eastAsia="en-US"/>
              </w:rPr>
              <w:t>(% of Total Rate)</w:t>
            </w:r>
          </w:p>
        </w:tc>
        <w:tc>
          <w:tcPr>
            <w:tcW w:w="1250" w:type="pct"/>
            <w:tcBorders>
              <w:top w:val="nil"/>
              <w:bottom w:val="nil"/>
            </w:tcBorders>
            <w:shd w:val="clear" w:color="auto" w:fill="4F81BD" w:themeFill="accent1"/>
            <w:noWrap/>
            <w:hideMark/>
          </w:tcPr>
          <w:p w14:paraId="21F62074" w14:textId="77777777" w:rsidR="00F22870" w:rsidRPr="003D0109" w:rsidRDefault="00F22870" w:rsidP="00477C28">
            <w:pPr>
              <w:keepNext/>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FFFFFF" w:themeColor="background1"/>
                <w:sz w:val="20"/>
                <w:szCs w:val="20"/>
                <w:lang w:eastAsia="en-US"/>
              </w:rPr>
            </w:pPr>
            <w:r w:rsidRPr="003D0109">
              <w:rPr>
                <w:rFonts w:eastAsia="Times New Roman" w:cs="Arial"/>
                <w:b/>
                <w:color w:val="FFFFFF" w:themeColor="background1"/>
                <w:sz w:val="20"/>
                <w:szCs w:val="20"/>
                <w:lang w:eastAsia="en-US"/>
              </w:rPr>
              <w:t>(% per Participant)</w:t>
            </w:r>
          </w:p>
        </w:tc>
        <w:tc>
          <w:tcPr>
            <w:tcW w:w="1250" w:type="pct"/>
            <w:tcBorders>
              <w:top w:val="nil"/>
              <w:bottom w:val="nil"/>
            </w:tcBorders>
            <w:shd w:val="clear" w:color="auto" w:fill="4F81BD" w:themeFill="accent1"/>
            <w:noWrap/>
            <w:hideMark/>
          </w:tcPr>
          <w:p w14:paraId="7A47D036" w14:textId="77777777" w:rsidR="00F22870" w:rsidRPr="003D0109" w:rsidRDefault="00F22870" w:rsidP="00477C28">
            <w:pPr>
              <w:keepNext/>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FFFFFF" w:themeColor="background1"/>
                <w:sz w:val="20"/>
                <w:szCs w:val="20"/>
                <w:lang w:eastAsia="en-US"/>
              </w:rPr>
            </w:pPr>
            <w:r w:rsidRPr="003D0109">
              <w:rPr>
                <w:rFonts w:eastAsia="Times New Roman" w:cs="Arial"/>
                <w:b/>
                <w:color w:val="FFFFFF" w:themeColor="background1"/>
                <w:sz w:val="20"/>
                <w:szCs w:val="20"/>
                <w:lang w:eastAsia="en-US"/>
              </w:rPr>
              <w:t>(% of Total Bill)</w:t>
            </w:r>
          </w:p>
        </w:tc>
      </w:tr>
      <w:tr w:rsidR="003A4FBE" w:rsidRPr="003D0109" w14:paraId="57E452BF" w14:textId="77777777" w:rsidTr="00E13C8D">
        <w:trPr>
          <w:trHeight w:val="288"/>
        </w:trPr>
        <w:tc>
          <w:tcPr>
            <w:cnfStyle w:val="001000000000" w:firstRow="0" w:lastRow="0" w:firstColumn="1" w:lastColumn="0" w:oddVBand="0" w:evenVBand="0" w:oddHBand="0" w:evenHBand="0" w:firstRowFirstColumn="0" w:firstRowLastColumn="0" w:lastRowFirstColumn="0" w:lastRowLastColumn="0"/>
            <w:tcW w:w="1183" w:type="pct"/>
            <w:tcBorders>
              <w:top w:val="nil"/>
              <w:bottom w:val="single" w:sz="4" w:space="0" w:color="4F81BD" w:themeColor="accent1"/>
            </w:tcBorders>
            <w:shd w:val="clear" w:color="auto" w:fill="FFFFFF" w:themeFill="background1"/>
            <w:noWrap/>
            <w:hideMark/>
          </w:tcPr>
          <w:p w14:paraId="4BBEA330" w14:textId="77777777" w:rsidR="003A4FBE" w:rsidRPr="003D0109" w:rsidRDefault="003A4FBE" w:rsidP="003A4FBE">
            <w:pPr>
              <w:keepNext/>
              <w:spacing w:after="0" w:line="240" w:lineRule="auto"/>
              <w:rPr>
                <w:rFonts w:eastAsia="Times New Roman" w:cs="Arial"/>
                <w:b w:val="0"/>
                <w:bCs w:val="0"/>
                <w:sz w:val="20"/>
                <w:szCs w:val="20"/>
                <w:lang w:eastAsia="en-US"/>
              </w:rPr>
            </w:pPr>
            <w:r w:rsidRPr="003D0109">
              <w:rPr>
                <w:rFonts w:eastAsia="Times New Roman" w:cs="Arial"/>
                <w:b w:val="0"/>
                <w:bCs w:val="0"/>
                <w:sz w:val="20"/>
                <w:szCs w:val="20"/>
                <w:lang w:eastAsia="en-US"/>
              </w:rPr>
              <w:t>Average Participant</w:t>
            </w:r>
          </w:p>
        </w:tc>
        <w:tc>
          <w:tcPr>
            <w:tcW w:w="1316" w:type="pct"/>
            <w:tcBorders>
              <w:top w:val="nil"/>
              <w:bottom w:val="single" w:sz="4" w:space="0" w:color="4F81BD" w:themeColor="accent1"/>
            </w:tcBorders>
            <w:shd w:val="clear" w:color="auto" w:fill="FFFFFF" w:themeFill="background1"/>
            <w:noWrap/>
            <w:vAlign w:val="bottom"/>
          </w:tcPr>
          <w:p w14:paraId="6B874F89" w14:textId="240C655F" w:rsidR="003A4FBE" w:rsidRPr="003A4FBE" w:rsidRDefault="00E13C8D" w:rsidP="003A4FBE">
            <w:pPr>
              <w:keepNext/>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US"/>
              </w:rPr>
            </w:pPr>
            <w:r>
              <w:rPr>
                <w:rFonts w:cs="Calibri"/>
                <w:sz w:val="20"/>
                <w:szCs w:val="20"/>
              </w:rPr>
              <w:t>-</w:t>
            </w:r>
            <w:r w:rsidR="003A4FBE" w:rsidRPr="0008162E">
              <w:rPr>
                <w:rFonts w:cs="Calibri"/>
                <w:sz w:val="20"/>
                <w:szCs w:val="20"/>
              </w:rPr>
              <w:t>0.0</w:t>
            </w:r>
            <w:r>
              <w:rPr>
                <w:rFonts w:cs="Calibri"/>
                <w:sz w:val="20"/>
                <w:szCs w:val="20"/>
              </w:rPr>
              <w:t>2</w:t>
            </w:r>
            <w:r w:rsidR="003A4FBE" w:rsidRPr="0008162E">
              <w:rPr>
                <w:rFonts w:cs="Calibri"/>
                <w:sz w:val="20"/>
                <w:szCs w:val="20"/>
              </w:rPr>
              <w:t>%</w:t>
            </w:r>
          </w:p>
        </w:tc>
        <w:tc>
          <w:tcPr>
            <w:tcW w:w="1250" w:type="pct"/>
            <w:tcBorders>
              <w:top w:val="nil"/>
              <w:bottom w:val="single" w:sz="4" w:space="0" w:color="4F81BD" w:themeColor="accent1"/>
            </w:tcBorders>
            <w:shd w:val="clear" w:color="auto" w:fill="FFFFFF" w:themeFill="background1"/>
            <w:noWrap/>
            <w:vAlign w:val="bottom"/>
          </w:tcPr>
          <w:p w14:paraId="41033893" w14:textId="65415D52" w:rsidR="003A4FBE" w:rsidRPr="003A4FBE" w:rsidRDefault="003A4FBE" w:rsidP="003A4FBE">
            <w:pPr>
              <w:keepNext/>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US"/>
              </w:rPr>
            </w:pPr>
            <w:r w:rsidRPr="0008162E">
              <w:rPr>
                <w:rFonts w:cs="Calibri"/>
                <w:sz w:val="20"/>
                <w:szCs w:val="20"/>
              </w:rPr>
              <w:t>-0.05%</w:t>
            </w:r>
          </w:p>
        </w:tc>
        <w:tc>
          <w:tcPr>
            <w:tcW w:w="1250" w:type="pct"/>
            <w:tcBorders>
              <w:top w:val="nil"/>
              <w:bottom w:val="single" w:sz="4" w:space="0" w:color="4F81BD" w:themeColor="accent1"/>
            </w:tcBorders>
            <w:shd w:val="clear" w:color="auto" w:fill="FFFFFF" w:themeFill="background1"/>
            <w:noWrap/>
            <w:vAlign w:val="bottom"/>
          </w:tcPr>
          <w:p w14:paraId="339E3858" w14:textId="7694DEAA" w:rsidR="003A4FBE" w:rsidRPr="003A4FBE" w:rsidRDefault="003A4FBE" w:rsidP="003A4FBE">
            <w:pPr>
              <w:keepNext/>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US"/>
              </w:rPr>
            </w:pPr>
            <w:r w:rsidRPr="0008162E">
              <w:rPr>
                <w:rFonts w:cs="Calibri"/>
                <w:sz w:val="20"/>
                <w:szCs w:val="20"/>
              </w:rPr>
              <w:t>-0.0</w:t>
            </w:r>
            <w:r w:rsidR="00E13C8D">
              <w:rPr>
                <w:rFonts w:cs="Calibri"/>
                <w:sz w:val="20"/>
                <w:szCs w:val="20"/>
              </w:rPr>
              <w:t>7</w:t>
            </w:r>
            <w:r w:rsidRPr="0008162E">
              <w:rPr>
                <w:rFonts w:cs="Calibri"/>
                <w:sz w:val="20"/>
                <w:szCs w:val="20"/>
              </w:rPr>
              <w:t>%</w:t>
            </w:r>
          </w:p>
        </w:tc>
      </w:tr>
      <w:tr w:rsidR="00E13C8D" w:rsidRPr="003D0109" w14:paraId="2505FD73" w14:textId="77777777" w:rsidTr="00E13C8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83" w:type="pct"/>
            <w:tcBorders>
              <w:top w:val="single" w:sz="4" w:space="0" w:color="4F81BD" w:themeColor="accent1"/>
              <w:bottom w:val="single" w:sz="4" w:space="0" w:color="4F81BD" w:themeColor="accent1"/>
            </w:tcBorders>
            <w:shd w:val="clear" w:color="auto" w:fill="FFFFFF" w:themeFill="background1"/>
            <w:noWrap/>
            <w:hideMark/>
          </w:tcPr>
          <w:p w14:paraId="6D474DDD" w14:textId="77777777" w:rsidR="00E13C8D" w:rsidRPr="003D0109" w:rsidRDefault="00E13C8D" w:rsidP="00E13C8D">
            <w:pPr>
              <w:keepNext/>
              <w:spacing w:after="0" w:line="240" w:lineRule="auto"/>
              <w:rPr>
                <w:rFonts w:eastAsia="Times New Roman" w:cs="Arial"/>
                <w:b w:val="0"/>
                <w:bCs w:val="0"/>
                <w:sz w:val="20"/>
                <w:szCs w:val="20"/>
                <w:lang w:eastAsia="en-US"/>
              </w:rPr>
            </w:pPr>
            <w:r w:rsidRPr="003D0109">
              <w:rPr>
                <w:rFonts w:eastAsia="Times New Roman" w:cs="Arial"/>
                <w:b w:val="0"/>
                <w:bCs w:val="0"/>
                <w:sz w:val="20"/>
                <w:szCs w:val="20"/>
                <w:lang w:eastAsia="en-US"/>
              </w:rPr>
              <w:t>Non-Participant</w:t>
            </w:r>
          </w:p>
        </w:tc>
        <w:tc>
          <w:tcPr>
            <w:tcW w:w="1316" w:type="pct"/>
            <w:tcBorders>
              <w:top w:val="single" w:sz="4" w:space="0" w:color="4F81BD" w:themeColor="accent1"/>
              <w:bottom w:val="single" w:sz="4" w:space="0" w:color="4F81BD" w:themeColor="accent1"/>
            </w:tcBorders>
            <w:shd w:val="clear" w:color="auto" w:fill="FFFFFF" w:themeFill="background1"/>
            <w:noWrap/>
            <w:vAlign w:val="bottom"/>
          </w:tcPr>
          <w:p w14:paraId="63830760" w14:textId="029DA1DC" w:rsidR="00E13C8D" w:rsidRPr="003A4FBE" w:rsidRDefault="00E13C8D" w:rsidP="00E13C8D">
            <w:pPr>
              <w:keepNext/>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US"/>
              </w:rPr>
            </w:pPr>
            <w:r>
              <w:rPr>
                <w:rFonts w:cs="Calibri"/>
                <w:sz w:val="20"/>
                <w:szCs w:val="20"/>
              </w:rPr>
              <w:t>-</w:t>
            </w:r>
            <w:r w:rsidRPr="0008162E">
              <w:rPr>
                <w:rFonts w:cs="Calibri"/>
                <w:sz w:val="20"/>
                <w:szCs w:val="20"/>
              </w:rPr>
              <w:t>0.0</w:t>
            </w:r>
            <w:r>
              <w:rPr>
                <w:rFonts w:cs="Calibri"/>
                <w:sz w:val="20"/>
                <w:szCs w:val="20"/>
              </w:rPr>
              <w:t>2</w:t>
            </w:r>
            <w:r w:rsidRPr="0008162E">
              <w:rPr>
                <w:rFonts w:cs="Calibri"/>
                <w:sz w:val="20"/>
                <w:szCs w:val="20"/>
              </w:rPr>
              <w:t>%</w:t>
            </w:r>
          </w:p>
        </w:tc>
        <w:tc>
          <w:tcPr>
            <w:tcW w:w="1250" w:type="pct"/>
            <w:tcBorders>
              <w:top w:val="single" w:sz="4" w:space="0" w:color="4F81BD" w:themeColor="accent1"/>
              <w:bottom w:val="single" w:sz="4" w:space="0" w:color="4F81BD" w:themeColor="accent1"/>
            </w:tcBorders>
            <w:shd w:val="clear" w:color="auto" w:fill="FFFFFF" w:themeFill="background1"/>
            <w:noWrap/>
            <w:vAlign w:val="bottom"/>
          </w:tcPr>
          <w:p w14:paraId="34BEE3E3" w14:textId="51F6DE8B" w:rsidR="00E13C8D" w:rsidRPr="003A4FBE" w:rsidRDefault="00E13C8D" w:rsidP="00E13C8D">
            <w:pPr>
              <w:keepNext/>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US"/>
              </w:rPr>
            </w:pPr>
            <w:r w:rsidRPr="0008162E">
              <w:rPr>
                <w:rFonts w:cs="Calibri"/>
                <w:sz w:val="20"/>
                <w:szCs w:val="20"/>
              </w:rPr>
              <w:t>0.00%</w:t>
            </w:r>
          </w:p>
        </w:tc>
        <w:tc>
          <w:tcPr>
            <w:tcW w:w="1250" w:type="pct"/>
            <w:tcBorders>
              <w:top w:val="single" w:sz="4" w:space="0" w:color="4F81BD" w:themeColor="accent1"/>
              <w:bottom w:val="single" w:sz="4" w:space="0" w:color="4F81BD" w:themeColor="accent1"/>
            </w:tcBorders>
            <w:shd w:val="clear" w:color="auto" w:fill="FFFFFF" w:themeFill="background1"/>
            <w:noWrap/>
            <w:vAlign w:val="bottom"/>
          </w:tcPr>
          <w:p w14:paraId="1A395887" w14:textId="4A4D06F6" w:rsidR="00E13C8D" w:rsidRPr="003A4FBE" w:rsidRDefault="00E13C8D" w:rsidP="00E13C8D">
            <w:pPr>
              <w:keepNext/>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US"/>
              </w:rPr>
            </w:pPr>
            <w:r>
              <w:rPr>
                <w:rFonts w:cs="Calibri"/>
                <w:sz w:val="20"/>
                <w:szCs w:val="20"/>
              </w:rPr>
              <w:t>-</w:t>
            </w:r>
            <w:r w:rsidRPr="0008162E">
              <w:rPr>
                <w:rFonts w:cs="Calibri"/>
                <w:sz w:val="20"/>
                <w:szCs w:val="20"/>
              </w:rPr>
              <w:t>0.0</w:t>
            </w:r>
            <w:r>
              <w:rPr>
                <w:rFonts w:cs="Calibri"/>
                <w:sz w:val="20"/>
                <w:szCs w:val="20"/>
              </w:rPr>
              <w:t>2</w:t>
            </w:r>
            <w:r w:rsidRPr="0008162E">
              <w:rPr>
                <w:rFonts w:cs="Calibri"/>
                <w:sz w:val="20"/>
                <w:szCs w:val="20"/>
              </w:rPr>
              <w:t>%</w:t>
            </w:r>
          </w:p>
        </w:tc>
      </w:tr>
      <w:tr w:rsidR="00E13C8D" w:rsidRPr="003D0109" w14:paraId="65046D65" w14:textId="77777777" w:rsidTr="00E13C8D">
        <w:trPr>
          <w:trHeight w:val="288"/>
        </w:trPr>
        <w:tc>
          <w:tcPr>
            <w:cnfStyle w:val="001000000000" w:firstRow="0" w:lastRow="0" w:firstColumn="1" w:lastColumn="0" w:oddVBand="0" w:evenVBand="0" w:oddHBand="0" w:evenHBand="0" w:firstRowFirstColumn="0" w:firstRowLastColumn="0" w:lastRowFirstColumn="0" w:lastRowLastColumn="0"/>
            <w:tcW w:w="1183" w:type="pct"/>
            <w:tcBorders>
              <w:top w:val="single" w:sz="4" w:space="0" w:color="4F81BD" w:themeColor="accent1"/>
              <w:bottom w:val="single" w:sz="4" w:space="0" w:color="4F81BD" w:themeColor="accent1"/>
            </w:tcBorders>
            <w:shd w:val="clear" w:color="auto" w:fill="FFFFFF" w:themeFill="background1"/>
            <w:noWrap/>
            <w:hideMark/>
          </w:tcPr>
          <w:p w14:paraId="71D8E669" w14:textId="77777777" w:rsidR="00E13C8D" w:rsidRPr="003D0109" w:rsidRDefault="00E13C8D" w:rsidP="00E13C8D">
            <w:pPr>
              <w:keepNext/>
              <w:spacing w:after="0" w:line="240" w:lineRule="auto"/>
              <w:rPr>
                <w:rFonts w:eastAsia="Times New Roman" w:cs="Arial"/>
                <w:b w:val="0"/>
                <w:bCs w:val="0"/>
                <w:sz w:val="20"/>
                <w:szCs w:val="20"/>
                <w:lang w:eastAsia="en-US"/>
              </w:rPr>
            </w:pPr>
            <w:r w:rsidRPr="003D0109">
              <w:rPr>
                <w:rFonts w:eastAsia="Times New Roman" w:cs="Arial"/>
                <w:b w:val="0"/>
                <w:bCs w:val="0"/>
                <w:sz w:val="20"/>
                <w:szCs w:val="20"/>
                <w:lang w:eastAsia="en-US"/>
              </w:rPr>
              <w:t>Average Customer</w:t>
            </w:r>
          </w:p>
        </w:tc>
        <w:tc>
          <w:tcPr>
            <w:tcW w:w="1316" w:type="pct"/>
            <w:tcBorders>
              <w:top w:val="single" w:sz="4" w:space="0" w:color="4F81BD" w:themeColor="accent1"/>
              <w:bottom w:val="single" w:sz="4" w:space="0" w:color="4F81BD" w:themeColor="accent1"/>
            </w:tcBorders>
            <w:shd w:val="clear" w:color="auto" w:fill="FFFFFF" w:themeFill="background1"/>
            <w:noWrap/>
            <w:vAlign w:val="bottom"/>
          </w:tcPr>
          <w:p w14:paraId="290C4ED8" w14:textId="267D258E" w:rsidR="00E13C8D" w:rsidRPr="003A4FBE" w:rsidRDefault="00E13C8D" w:rsidP="00E13C8D">
            <w:pPr>
              <w:keepNext/>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US"/>
              </w:rPr>
            </w:pPr>
            <w:r>
              <w:rPr>
                <w:rFonts w:cs="Calibri"/>
                <w:sz w:val="20"/>
                <w:szCs w:val="20"/>
              </w:rPr>
              <w:t>-</w:t>
            </w:r>
            <w:r w:rsidRPr="0008162E">
              <w:rPr>
                <w:rFonts w:cs="Calibri"/>
                <w:sz w:val="20"/>
                <w:szCs w:val="20"/>
              </w:rPr>
              <w:t>0.0</w:t>
            </w:r>
            <w:r>
              <w:rPr>
                <w:rFonts w:cs="Calibri"/>
                <w:sz w:val="20"/>
                <w:szCs w:val="20"/>
              </w:rPr>
              <w:t>2</w:t>
            </w:r>
            <w:r w:rsidRPr="0008162E">
              <w:rPr>
                <w:rFonts w:cs="Calibri"/>
                <w:sz w:val="20"/>
                <w:szCs w:val="20"/>
              </w:rPr>
              <w:t>%</w:t>
            </w:r>
          </w:p>
        </w:tc>
        <w:tc>
          <w:tcPr>
            <w:tcW w:w="1250" w:type="pct"/>
            <w:tcBorders>
              <w:top w:val="single" w:sz="4" w:space="0" w:color="4F81BD" w:themeColor="accent1"/>
              <w:bottom w:val="single" w:sz="4" w:space="0" w:color="4F81BD" w:themeColor="accent1"/>
            </w:tcBorders>
            <w:shd w:val="clear" w:color="auto" w:fill="FFFFFF" w:themeFill="background1"/>
            <w:noWrap/>
            <w:vAlign w:val="bottom"/>
          </w:tcPr>
          <w:p w14:paraId="58398251" w14:textId="22191BED" w:rsidR="00E13C8D" w:rsidRPr="003A4FBE" w:rsidRDefault="00E13C8D" w:rsidP="00E13C8D">
            <w:pPr>
              <w:keepNext/>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US"/>
              </w:rPr>
            </w:pPr>
            <w:r w:rsidRPr="0008162E">
              <w:rPr>
                <w:rFonts w:cs="Calibri"/>
                <w:sz w:val="20"/>
                <w:szCs w:val="20"/>
              </w:rPr>
              <w:t>-0.03%</w:t>
            </w:r>
          </w:p>
        </w:tc>
        <w:tc>
          <w:tcPr>
            <w:tcW w:w="1250" w:type="pct"/>
            <w:tcBorders>
              <w:top w:val="single" w:sz="4" w:space="0" w:color="4F81BD" w:themeColor="accent1"/>
              <w:bottom w:val="single" w:sz="4" w:space="0" w:color="4F81BD" w:themeColor="accent1"/>
            </w:tcBorders>
            <w:shd w:val="clear" w:color="auto" w:fill="FFFFFF" w:themeFill="background1"/>
            <w:noWrap/>
            <w:vAlign w:val="bottom"/>
          </w:tcPr>
          <w:p w14:paraId="31495310" w14:textId="2605AFF3" w:rsidR="00E13C8D" w:rsidRPr="003A4FBE" w:rsidRDefault="00E13C8D" w:rsidP="00E13C8D">
            <w:pPr>
              <w:keepNext/>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US"/>
              </w:rPr>
            </w:pPr>
            <w:r w:rsidRPr="0008162E">
              <w:rPr>
                <w:rFonts w:cs="Calibri"/>
                <w:sz w:val="20"/>
                <w:szCs w:val="20"/>
              </w:rPr>
              <w:t>-0.0</w:t>
            </w:r>
            <w:r>
              <w:rPr>
                <w:rFonts w:cs="Calibri"/>
                <w:sz w:val="20"/>
                <w:szCs w:val="20"/>
              </w:rPr>
              <w:t>5</w:t>
            </w:r>
            <w:r w:rsidRPr="0008162E">
              <w:rPr>
                <w:rFonts w:cs="Calibri"/>
                <w:sz w:val="20"/>
                <w:szCs w:val="20"/>
              </w:rPr>
              <w:t>%</w:t>
            </w:r>
          </w:p>
        </w:tc>
      </w:tr>
    </w:tbl>
    <w:p w14:paraId="75E59AB3" w14:textId="77777777" w:rsidR="00F22870" w:rsidRDefault="00F22870" w:rsidP="00F22870">
      <w:pPr>
        <w:autoSpaceDE w:val="0"/>
        <w:autoSpaceDN w:val="0"/>
        <w:adjustRightInd w:val="0"/>
        <w:spacing w:after="0" w:line="240" w:lineRule="auto"/>
        <w:jc w:val="both"/>
        <w:rPr>
          <w:rFonts w:cs="Calibri"/>
          <w:sz w:val="21"/>
          <w:szCs w:val="21"/>
        </w:rPr>
      </w:pPr>
    </w:p>
    <w:p w14:paraId="046CAB29" w14:textId="37CBF22E" w:rsidR="00F22870" w:rsidRPr="00793230" w:rsidRDefault="00F22870" w:rsidP="00793230">
      <w:pPr>
        <w:pStyle w:val="Caption"/>
        <w:rPr>
          <w:rFonts w:cs="Calibri"/>
          <w:color w:val="4F81BD"/>
          <w:sz w:val="20"/>
          <w:szCs w:val="20"/>
        </w:rPr>
      </w:pPr>
      <w:r w:rsidRPr="00793230">
        <w:rPr>
          <w:rFonts w:cs="Calibri"/>
          <w:color w:val="4F81BD"/>
          <w:sz w:val="20"/>
          <w:szCs w:val="20"/>
        </w:rPr>
        <w:t xml:space="preserve">Table </w:t>
      </w:r>
      <w:r w:rsidRPr="00793230">
        <w:rPr>
          <w:rFonts w:cs="Calibri"/>
          <w:color w:val="4F81BD"/>
          <w:sz w:val="20"/>
          <w:szCs w:val="20"/>
        </w:rPr>
        <w:fldChar w:fldCharType="begin"/>
      </w:r>
      <w:r w:rsidRPr="00793230">
        <w:rPr>
          <w:rFonts w:cs="Calibri"/>
          <w:color w:val="4F81BD"/>
          <w:sz w:val="20"/>
          <w:szCs w:val="20"/>
        </w:rPr>
        <w:instrText>SEQ Table \* ARABIC</w:instrText>
      </w:r>
      <w:r w:rsidRPr="00793230">
        <w:rPr>
          <w:rFonts w:cs="Calibri"/>
          <w:color w:val="4F81BD"/>
          <w:sz w:val="20"/>
          <w:szCs w:val="20"/>
        </w:rPr>
        <w:fldChar w:fldCharType="separate"/>
      </w:r>
      <w:r w:rsidR="00F573DA" w:rsidRPr="00793230">
        <w:rPr>
          <w:rFonts w:cs="Calibri"/>
          <w:color w:val="4F81BD"/>
          <w:sz w:val="20"/>
          <w:szCs w:val="20"/>
        </w:rPr>
        <w:t>6</w:t>
      </w:r>
      <w:r w:rsidRPr="00793230">
        <w:rPr>
          <w:rFonts w:cs="Calibri"/>
          <w:color w:val="4F81BD"/>
          <w:sz w:val="20"/>
          <w:szCs w:val="20"/>
        </w:rPr>
        <w:fldChar w:fldCharType="end"/>
      </w:r>
      <w:r w:rsidRPr="00793230">
        <w:rPr>
          <w:rFonts w:cs="Calibri"/>
          <w:color w:val="4F81BD"/>
          <w:sz w:val="20"/>
          <w:szCs w:val="20"/>
        </w:rPr>
        <w:t>. Income-Eligible All Programs – Rate and Bill Imp</w:t>
      </w:r>
      <w:r w:rsidR="00E1353D">
        <w:rPr>
          <w:rFonts w:cs="Calibri"/>
          <w:color w:val="4F81BD"/>
          <w:sz w:val="20"/>
          <w:szCs w:val="20"/>
        </w:rPr>
        <w:t>a</w:t>
      </w:r>
      <w:r w:rsidRPr="00793230">
        <w:rPr>
          <w:rFonts w:cs="Calibri"/>
          <w:color w:val="4F81BD"/>
          <w:sz w:val="20"/>
          <w:szCs w:val="20"/>
        </w:rPr>
        <w:t>ct Analysis – A-60 (20</w:t>
      </w:r>
      <w:r w:rsidR="00897533">
        <w:rPr>
          <w:rFonts w:cs="Calibri"/>
          <w:color w:val="4F81BD"/>
          <w:sz w:val="20"/>
          <w:szCs w:val="20"/>
        </w:rPr>
        <w:t>24</w:t>
      </w:r>
      <w:r w:rsidRPr="00793230">
        <w:rPr>
          <w:rFonts w:cs="Calibri"/>
          <w:color w:val="4F81BD"/>
          <w:sz w:val="20"/>
          <w:szCs w:val="20"/>
        </w:rPr>
        <w:t xml:space="preserve"> EE Plan vs. No EE)</w:t>
      </w:r>
      <w:r w:rsidRPr="00793230">
        <w:rPr>
          <w:rFonts w:cs="Calibri"/>
          <w:color w:val="4F81BD"/>
          <w:sz w:val="20"/>
          <w:szCs w:val="20"/>
          <w:vertAlign w:val="superscript"/>
        </w:rPr>
        <w:t xml:space="preserve"> </w:t>
      </w:r>
      <w:r w:rsidRPr="00793230">
        <w:rPr>
          <w:rFonts w:cs="Calibri"/>
          <w:color w:val="4F81BD"/>
          <w:sz w:val="20"/>
          <w:szCs w:val="20"/>
          <w:vertAlign w:val="superscript"/>
        </w:rPr>
        <w:footnoteReference w:id="8"/>
      </w:r>
    </w:p>
    <w:tbl>
      <w:tblPr>
        <w:tblStyle w:val="ListTable3-Accent1"/>
        <w:tblW w:w="5000" w:type="pct"/>
        <w:tblLook w:val="04A0" w:firstRow="1" w:lastRow="0" w:firstColumn="1" w:lastColumn="0" w:noHBand="0" w:noVBand="1"/>
      </w:tblPr>
      <w:tblGrid>
        <w:gridCol w:w="2213"/>
        <w:gridCol w:w="2461"/>
        <w:gridCol w:w="2338"/>
        <w:gridCol w:w="2338"/>
      </w:tblGrid>
      <w:tr w:rsidR="00F22870" w:rsidRPr="003D0109" w14:paraId="71FCC075" w14:textId="77777777" w:rsidTr="003D0109">
        <w:trPr>
          <w:cnfStyle w:val="100000000000" w:firstRow="1" w:lastRow="0" w:firstColumn="0" w:lastColumn="0" w:oddVBand="0" w:evenVBand="0" w:oddHBand="0" w:evenHBand="0" w:firstRowFirstColumn="0" w:firstRowLastColumn="0" w:lastRowFirstColumn="0" w:lastRowLastColumn="0"/>
          <w:trHeight w:val="144"/>
        </w:trPr>
        <w:tc>
          <w:tcPr>
            <w:cnfStyle w:val="001000000100" w:firstRow="0" w:lastRow="0" w:firstColumn="1" w:lastColumn="0" w:oddVBand="0" w:evenVBand="0" w:oddHBand="0" w:evenHBand="0" w:firstRowFirstColumn="1" w:firstRowLastColumn="0" w:lastRowFirstColumn="0" w:lastRowLastColumn="0"/>
            <w:tcW w:w="1183" w:type="pct"/>
            <w:vMerge w:val="restart"/>
            <w:hideMark/>
          </w:tcPr>
          <w:p w14:paraId="0327E51F" w14:textId="0A0B5098" w:rsidR="00F22870" w:rsidRPr="003D0109" w:rsidRDefault="00F22870" w:rsidP="00477C28">
            <w:pPr>
              <w:keepNext/>
              <w:spacing w:after="0" w:line="240" w:lineRule="auto"/>
              <w:rPr>
                <w:rFonts w:eastAsia="Times New Roman" w:cs="Arial"/>
                <w:b w:val="0"/>
                <w:sz w:val="20"/>
                <w:szCs w:val="20"/>
                <w:lang w:eastAsia="en-US"/>
              </w:rPr>
            </w:pPr>
            <w:r w:rsidRPr="003D0109">
              <w:rPr>
                <w:rFonts w:eastAsia="Times New Roman" w:cs="Arial"/>
                <w:sz w:val="20"/>
                <w:szCs w:val="20"/>
                <w:lang w:eastAsia="en-US"/>
              </w:rPr>
              <w:t>Income-Eligible (All Programs)</w:t>
            </w:r>
          </w:p>
        </w:tc>
        <w:tc>
          <w:tcPr>
            <w:tcW w:w="1316" w:type="pct"/>
            <w:hideMark/>
          </w:tcPr>
          <w:p w14:paraId="2C8D9115" w14:textId="77777777" w:rsidR="00F22870" w:rsidRPr="003D0109" w:rsidRDefault="00F22870" w:rsidP="00477C28">
            <w:pPr>
              <w:keepNext/>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n-US"/>
              </w:rPr>
            </w:pPr>
            <w:r w:rsidRPr="003D0109">
              <w:rPr>
                <w:rFonts w:eastAsia="Times New Roman" w:cs="Arial"/>
                <w:sz w:val="20"/>
                <w:szCs w:val="20"/>
                <w:lang w:eastAsia="en-US"/>
              </w:rPr>
              <w:t>Long-Term Rate Impacts</w:t>
            </w:r>
          </w:p>
        </w:tc>
        <w:tc>
          <w:tcPr>
            <w:tcW w:w="1250" w:type="pct"/>
            <w:hideMark/>
          </w:tcPr>
          <w:p w14:paraId="4E039CA9" w14:textId="77777777" w:rsidR="00F22870" w:rsidRPr="003D0109" w:rsidRDefault="00F22870" w:rsidP="00477C28">
            <w:pPr>
              <w:keepNext/>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n-US"/>
              </w:rPr>
            </w:pPr>
            <w:r w:rsidRPr="003D0109">
              <w:rPr>
                <w:rFonts w:eastAsia="Times New Roman" w:cs="Arial"/>
                <w:sz w:val="20"/>
                <w:szCs w:val="20"/>
                <w:lang w:eastAsia="en-US"/>
              </w:rPr>
              <w:t>Typical Energy Savings</w:t>
            </w:r>
          </w:p>
        </w:tc>
        <w:tc>
          <w:tcPr>
            <w:tcW w:w="1250" w:type="pct"/>
            <w:hideMark/>
          </w:tcPr>
          <w:p w14:paraId="7B9DDB8E" w14:textId="77777777" w:rsidR="00F22870" w:rsidRPr="003D0109" w:rsidRDefault="00F22870" w:rsidP="00477C28">
            <w:pPr>
              <w:keepNext/>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n-US"/>
              </w:rPr>
            </w:pPr>
            <w:r w:rsidRPr="003D0109">
              <w:rPr>
                <w:rFonts w:eastAsia="Times New Roman" w:cs="Arial"/>
                <w:sz w:val="20"/>
                <w:szCs w:val="20"/>
                <w:lang w:eastAsia="en-US"/>
              </w:rPr>
              <w:t>Typical Bill Savings</w:t>
            </w:r>
          </w:p>
        </w:tc>
      </w:tr>
      <w:tr w:rsidR="00F22870" w:rsidRPr="003D0109" w14:paraId="1C5A6B78" w14:textId="77777777" w:rsidTr="003D0109">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183" w:type="pct"/>
            <w:vMerge/>
            <w:noWrap/>
            <w:hideMark/>
          </w:tcPr>
          <w:p w14:paraId="08703BAC" w14:textId="77777777" w:rsidR="00F22870" w:rsidRPr="003D0109" w:rsidRDefault="00F22870" w:rsidP="00477C28">
            <w:pPr>
              <w:keepNext/>
              <w:spacing w:after="0" w:line="240" w:lineRule="auto"/>
              <w:rPr>
                <w:rFonts w:eastAsia="Times New Roman" w:cs="Arial"/>
                <w:b w:val="0"/>
                <w:color w:val="FFFFFF" w:themeColor="background1"/>
                <w:sz w:val="20"/>
                <w:szCs w:val="20"/>
                <w:lang w:eastAsia="en-US"/>
              </w:rPr>
            </w:pPr>
          </w:p>
        </w:tc>
        <w:tc>
          <w:tcPr>
            <w:tcW w:w="1316" w:type="pct"/>
            <w:shd w:val="clear" w:color="auto" w:fill="4F81BD" w:themeFill="accent1"/>
            <w:noWrap/>
            <w:hideMark/>
          </w:tcPr>
          <w:p w14:paraId="54ADF001" w14:textId="77777777" w:rsidR="00F22870" w:rsidRPr="003D0109" w:rsidRDefault="00F22870" w:rsidP="00477C28">
            <w:pPr>
              <w:keepNext/>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FFFFFF" w:themeColor="background1"/>
                <w:sz w:val="20"/>
                <w:szCs w:val="20"/>
                <w:lang w:eastAsia="en-US"/>
              </w:rPr>
            </w:pPr>
            <w:r w:rsidRPr="003D0109">
              <w:rPr>
                <w:rFonts w:eastAsia="Times New Roman" w:cs="Arial"/>
                <w:b/>
                <w:color w:val="FFFFFF" w:themeColor="background1"/>
                <w:sz w:val="20"/>
                <w:szCs w:val="20"/>
                <w:lang w:eastAsia="en-US"/>
              </w:rPr>
              <w:t>(% of Total Rate)</w:t>
            </w:r>
          </w:p>
        </w:tc>
        <w:tc>
          <w:tcPr>
            <w:tcW w:w="1250" w:type="pct"/>
            <w:shd w:val="clear" w:color="auto" w:fill="4F81BD" w:themeFill="accent1"/>
            <w:noWrap/>
            <w:hideMark/>
          </w:tcPr>
          <w:p w14:paraId="2FDD2AE2" w14:textId="77777777" w:rsidR="00F22870" w:rsidRPr="003D0109" w:rsidRDefault="00F22870" w:rsidP="00477C28">
            <w:pPr>
              <w:keepNext/>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FFFFFF" w:themeColor="background1"/>
                <w:sz w:val="20"/>
                <w:szCs w:val="20"/>
                <w:lang w:eastAsia="en-US"/>
              </w:rPr>
            </w:pPr>
            <w:r w:rsidRPr="003D0109">
              <w:rPr>
                <w:rFonts w:eastAsia="Times New Roman" w:cs="Arial"/>
                <w:b/>
                <w:color w:val="FFFFFF" w:themeColor="background1"/>
                <w:sz w:val="20"/>
                <w:szCs w:val="20"/>
                <w:lang w:eastAsia="en-US"/>
              </w:rPr>
              <w:t>(% per Participant)</w:t>
            </w:r>
          </w:p>
        </w:tc>
        <w:tc>
          <w:tcPr>
            <w:tcW w:w="1250" w:type="pct"/>
            <w:shd w:val="clear" w:color="auto" w:fill="4F81BD" w:themeFill="accent1"/>
            <w:noWrap/>
            <w:hideMark/>
          </w:tcPr>
          <w:p w14:paraId="52C2F5BE" w14:textId="77777777" w:rsidR="00F22870" w:rsidRPr="003D0109" w:rsidRDefault="00F22870" w:rsidP="00477C28">
            <w:pPr>
              <w:keepNext/>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FFFFFF" w:themeColor="background1"/>
                <w:sz w:val="20"/>
                <w:szCs w:val="20"/>
                <w:lang w:eastAsia="en-US"/>
              </w:rPr>
            </w:pPr>
            <w:r w:rsidRPr="003D0109">
              <w:rPr>
                <w:rFonts w:eastAsia="Times New Roman" w:cs="Arial"/>
                <w:b/>
                <w:color w:val="FFFFFF" w:themeColor="background1"/>
                <w:sz w:val="20"/>
                <w:szCs w:val="20"/>
                <w:lang w:eastAsia="en-US"/>
              </w:rPr>
              <w:t>(% of Total Bill)</w:t>
            </w:r>
          </w:p>
        </w:tc>
      </w:tr>
      <w:tr w:rsidR="00A80AC1" w:rsidRPr="003D0109" w14:paraId="259C3848" w14:textId="77777777" w:rsidTr="001B3657">
        <w:trPr>
          <w:trHeight w:val="144"/>
        </w:trPr>
        <w:tc>
          <w:tcPr>
            <w:cnfStyle w:val="001000000000" w:firstRow="0" w:lastRow="0" w:firstColumn="1" w:lastColumn="0" w:oddVBand="0" w:evenVBand="0" w:oddHBand="0" w:evenHBand="0" w:firstRowFirstColumn="0" w:firstRowLastColumn="0" w:lastRowFirstColumn="0" w:lastRowLastColumn="0"/>
            <w:tcW w:w="1183" w:type="pct"/>
            <w:noWrap/>
            <w:hideMark/>
          </w:tcPr>
          <w:p w14:paraId="53D98E38" w14:textId="77777777" w:rsidR="00A80AC1" w:rsidRPr="003D0109" w:rsidRDefault="00A80AC1" w:rsidP="00A80AC1">
            <w:pPr>
              <w:keepNext/>
              <w:spacing w:after="0" w:line="240" w:lineRule="auto"/>
              <w:rPr>
                <w:rFonts w:eastAsia="Times New Roman" w:cs="Arial"/>
                <w:b w:val="0"/>
                <w:bCs w:val="0"/>
                <w:sz w:val="20"/>
                <w:szCs w:val="20"/>
                <w:lang w:eastAsia="en-US"/>
              </w:rPr>
            </w:pPr>
            <w:r w:rsidRPr="003D0109">
              <w:rPr>
                <w:rFonts w:eastAsia="Times New Roman" w:cs="Arial"/>
                <w:b w:val="0"/>
                <w:bCs w:val="0"/>
                <w:sz w:val="20"/>
                <w:szCs w:val="20"/>
                <w:lang w:eastAsia="en-US"/>
              </w:rPr>
              <w:t>Average Participant</w:t>
            </w:r>
          </w:p>
        </w:tc>
        <w:tc>
          <w:tcPr>
            <w:tcW w:w="1316" w:type="pct"/>
            <w:noWrap/>
            <w:vAlign w:val="bottom"/>
          </w:tcPr>
          <w:p w14:paraId="5C31D9F3" w14:textId="5DC512B0" w:rsidR="00A80AC1" w:rsidRPr="0008162E" w:rsidRDefault="00631CDF" w:rsidP="00A80AC1">
            <w:pPr>
              <w:keepN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color w:val="BFBFBF" w:themeColor="background1" w:themeShade="BF"/>
                <w:sz w:val="20"/>
                <w:szCs w:val="20"/>
              </w:rPr>
            </w:pPr>
            <w:r>
              <w:rPr>
                <w:rFonts w:cs="Calibri"/>
              </w:rPr>
              <w:t>-</w:t>
            </w:r>
            <w:r w:rsidR="00A80AC1">
              <w:rPr>
                <w:rFonts w:cs="Calibri"/>
              </w:rPr>
              <w:t>0.1</w:t>
            </w:r>
            <w:r>
              <w:rPr>
                <w:rFonts w:cs="Calibri"/>
              </w:rPr>
              <w:t>4</w:t>
            </w:r>
            <w:r w:rsidR="00A80AC1">
              <w:rPr>
                <w:rFonts w:cs="Calibri"/>
              </w:rPr>
              <w:t>%</w:t>
            </w:r>
          </w:p>
        </w:tc>
        <w:tc>
          <w:tcPr>
            <w:tcW w:w="1250" w:type="pct"/>
            <w:noWrap/>
            <w:vAlign w:val="bottom"/>
          </w:tcPr>
          <w:p w14:paraId="7F8336C9" w14:textId="304E9664" w:rsidR="00A80AC1" w:rsidRPr="0008162E" w:rsidRDefault="00A80AC1" w:rsidP="00A80AC1">
            <w:pPr>
              <w:keepN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color w:val="BFBFBF" w:themeColor="background1" w:themeShade="BF"/>
                <w:sz w:val="20"/>
                <w:szCs w:val="20"/>
              </w:rPr>
            </w:pPr>
            <w:r>
              <w:rPr>
                <w:rFonts w:cs="Calibri"/>
              </w:rPr>
              <w:t>-6.</w:t>
            </w:r>
            <w:r w:rsidR="00631CDF">
              <w:rPr>
                <w:rFonts w:cs="Calibri"/>
              </w:rPr>
              <w:t>27</w:t>
            </w:r>
            <w:r>
              <w:rPr>
                <w:rFonts w:cs="Calibri"/>
              </w:rPr>
              <w:t>%</w:t>
            </w:r>
          </w:p>
        </w:tc>
        <w:tc>
          <w:tcPr>
            <w:tcW w:w="1250" w:type="pct"/>
            <w:noWrap/>
            <w:vAlign w:val="bottom"/>
          </w:tcPr>
          <w:p w14:paraId="67D9B25B" w14:textId="28A82E5F" w:rsidR="00A80AC1" w:rsidRPr="0008162E" w:rsidRDefault="00A80AC1" w:rsidP="00A80AC1">
            <w:pPr>
              <w:keepN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color w:val="BFBFBF" w:themeColor="background1" w:themeShade="BF"/>
                <w:sz w:val="20"/>
                <w:szCs w:val="20"/>
              </w:rPr>
            </w:pPr>
            <w:r>
              <w:rPr>
                <w:rFonts w:cs="Calibri"/>
              </w:rPr>
              <w:t>-6.</w:t>
            </w:r>
            <w:r w:rsidR="00631CDF">
              <w:rPr>
                <w:rFonts w:cs="Calibri"/>
              </w:rPr>
              <w:t>38</w:t>
            </w:r>
            <w:r>
              <w:rPr>
                <w:rFonts w:cs="Calibri"/>
              </w:rPr>
              <w:t>%</w:t>
            </w:r>
          </w:p>
        </w:tc>
      </w:tr>
      <w:tr w:rsidR="00A80AC1" w:rsidRPr="003D0109" w14:paraId="3CC3EC1F" w14:textId="77777777" w:rsidTr="001B365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183" w:type="pct"/>
            <w:noWrap/>
            <w:hideMark/>
          </w:tcPr>
          <w:p w14:paraId="7527F938" w14:textId="77777777" w:rsidR="00A80AC1" w:rsidRPr="003D0109" w:rsidRDefault="00A80AC1" w:rsidP="00A80AC1">
            <w:pPr>
              <w:keepNext/>
              <w:spacing w:after="0" w:line="240" w:lineRule="auto"/>
              <w:rPr>
                <w:rFonts w:eastAsia="Times New Roman" w:cs="Arial"/>
                <w:b w:val="0"/>
                <w:bCs w:val="0"/>
                <w:sz w:val="20"/>
                <w:szCs w:val="20"/>
                <w:lang w:eastAsia="en-US"/>
              </w:rPr>
            </w:pPr>
            <w:r w:rsidRPr="003D0109">
              <w:rPr>
                <w:rFonts w:eastAsia="Times New Roman" w:cs="Arial"/>
                <w:b w:val="0"/>
                <w:bCs w:val="0"/>
                <w:sz w:val="20"/>
                <w:szCs w:val="20"/>
                <w:lang w:eastAsia="en-US"/>
              </w:rPr>
              <w:t>Non-Participant</w:t>
            </w:r>
          </w:p>
        </w:tc>
        <w:tc>
          <w:tcPr>
            <w:tcW w:w="1316" w:type="pct"/>
            <w:noWrap/>
            <w:vAlign w:val="bottom"/>
          </w:tcPr>
          <w:p w14:paraId="1990DC19" w14:textId="5AA3548E" w:rsidR="00A80AC1" w:rsidRPr="0008162E" w:rsidRDefault="00631CDF" w:rsidP="00A80AC1">
            <w:pPr>
              <w:keepN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BFBFBF" w:themeColor="background1" w:themeShade="BF"/>
                <w:sz w:val="20"/>
                <w:szCs w:val="20"/>
              </w:rPr>
            </w:pPr>
            <w:r>
              <w:rPr>
                <w:rFonts w:cs="Calibri"/>
              </w:rPr>
              <w:t>-</w:t>
            </w:r>
            <w:r w:rsidR="00A80AC1">
              <w:rPr>
                <w:rFonts w:cs="Calibri"/>
              </w:rPr>
              <w:t>0.1</w:t>
            </w:r>
            <w:r>
              <w:rPr>
                <w:rFonts w:cs="Calibri"/>
              </w:rPr>
              <w:t>4</w:t>
            </w:r>
            <w:r w:rsidR="00A80AC1">
              <w:rPr>
                <w:rFonts w:cs="Calibri"/>
              </w:rPr>
              <w:t>%</w:t>
            </w:r>
          </w:p>
        </w:tc>
        <w:tc>
          <w:tcPr>
            <w:tcW w:w="1250" w:type="pct"/>
            <w:noWrap/>
            <w:vAlign w:val="bottom"/>
          </w:tcPr>
          <w:p w14:paraId="65585D35" w14:textId="565EB848" w:rsidR="00A80AC1" w:rsidRPr="0008162E" w:rsidRDefault="00A80AC1" w:rsidP="00A80AC1">
            <w:pPr>
              <w:keepN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BFBFBF" w:themeColor="background1" w:themeShade="BF"/>
                <w:sz w:val="20"/>
                <w:szCs w:val="20"/>
              </w:rPr>
            </w:pPr>
            <w:r>
              <w:rPr>
                <w:rFonts w:cs="Calibri"/>
              </w:rPr>
              <w:t>0.00%</w:t>
            </w:r>
          </w:p>
        </w:tc>
        <w:tc>
          <w:tcPr>
            <w:tcW w:w="1250" w:type="pct"/>
            <w:noWrap/>
            <w:vAlign w:val="bottom"/>
          </w:tcPr>
          <w:p w14:paraId="09FCA7F4" w14:textId="3CC9A55C" w:rsidR="00A80AC1" w:rsidRPr="0008162E" w:rsidRDefault="00631CDF" w:rsidP="00A80AC1">
            <w:pPr>
              <w:keepN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BFBFBF" w:themeColor="background1" w:themeShade="BF"/>
                <w:sz w:val="20"/>
                <w:szCs w:val="20"/>
              </w:rPr>
            </w:pPr>
            <w:r>
              <w:rPr>
                <w:rFonts w:cs="Calibri"/>
              </w:rPr>
              <w:t>-</w:t>
            </w:r>
            <w:r w:rsidR="00A80AC1">
              <w:rPr>
                <w:rFonts w:cs="Calibri"/>
              </w:rPr>
              <w:t>0.1</w:t>
            </w:r>
            <w:r>
              <w:rPr>
                <w:rFonts w:cs="Calibri"/>
              </w:rPr>
              <w:t>7</w:t>
            </w:r>
            <w:r w:rsidR="00A80AC1">
              <w:rPr>
                <w:rFonts w:cs="Calibri"/>
              </w:rPr>
              <w:t>%</w:t>
            </w:r>
          </w:p>
        </w:tc>
      </w:tr>
      <w:tr w:rsidR="00A80AC1" w:rsidRPr="003D0109" w14:paraId="56C3E785" w14:textId="77777777" w:rsidTr="001B3657">
        <w:trPr>
          <w:trHeight w:val="144"/>
        </w:trPr>
        <w:tc>
          <w:tcPr>
            <w:cnfStyle w:val="001000000000" w:firstRow="0" w:lastRow="0" w:firstColumn="1" w:lastColumn="0" w:oddVBand="0" w:evenVBand="0" w:oddHBand="0" w:evenHBand="0" w:firstRowFirstColumn="0" w:firstRowLastColumn="0" w:lastRowFirstColumn="0" w:lastRowLastColumn="0"/>
            <w:tcW w:w="1183" w:type="pct"/>
            <w:noWrap/>
            <w:hideMark/>
          </w:tcPr>
          <w:p w14:paraId="434628BE" w14:textId="77777777" w:rsidR="00A80AC1" w:rsidRPr="003D0109" w:rsidRDefault="00A80AC1" w:rsidP="00A80AC1">
            <w:pPr>
              <w:keepNext/>
              <w:spacing w:after="0" w:line="240" w:lineRule="auto"/>
              <w:rPr>
                <w:rFonts w:eastAsia="Times New Roman" w:cs="Arial"/>
                <w:b w:val="0"/>
                <w:bCs w:val="0"/>
                <w:sz w:val="20"/>
                <w:szCs w:val="20"/>
                <w:lang w:eastAsia="en-US"/>
              </w:rPr>
            </w:pPr>
            <w:r w:rsidRPr="003D0109">
              <w:rPr>
                <w:rFonts w:eastAsia="Times New Roman" w:cs="Arial"/>
                <w:b w:val="0"/>
                <w:bCs w:val="0"/>
                <w:sz w:val="20"/>
                <w:szCs w:val="20"/>
                <w:lang w:eastAsia="en-US"/>
              </w:rPr>
              <w:t>Average Customer</w:t>
            </w:r>
          </w:p>
        </w:tc>
        <w:tc>
          <w:tcPr>
            <w:tcW w:w="1316" w:type="pct"/>
            <w:noWrap/>
            <w:vAlign w:val="bottom"/>
          </w:tcPr>
          <w:p w14:paraId="7595E5CD" w14:textId="57C28790" w:rsidR="00A80AC1" w:rsidRPr="0008162E" w:rsidRDefault="00631CDF" w:rsidP="00A80AC1">
            <w:pPr>
              <w:keepN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color w:val="BFBFBF" w:themeColor="background1" w:themeShade="BF"/>
                <w:sz w:val="20"/>
                <w:szCs w:val="20"/>
              </w:rPr>
            </w:pPr>
            <w:r>
              <w:rPr>
                <w:rFonts w:cs="Calibri"/>
              </w:rPr>
              <w:t>-</w:t>
            </w:r>
            <w:r w:rsidR="00A80AC1">
              <w:rPr>
                <w:rFonts w:cs="Calibri"/>
              </w:rPr>
              <w:t>0.1</w:t>
            </w:r>
            <w:r>
              <w:rPr>
                <w:rFonts w:cs="Calibri"/>
              </w:rPr>
              <w:t>4</w:t>
            </w:r>
            <w:r w:rsidR="00A80AC1">
              <w:rPr>
                <w:rFonts w:cs="Calibri"/>
              </w:rPr>
              <w:t>%</w:t>
            </w:r>
          </w:p>
        </w:tc>
        <w:tc>
          <w:tcPr>
            <w:tcW w:w="1250" w:type="pct"/>
            <w:noWrap/>
            <w:vAlign w:val="bottom"/>
          </w:tcPr>
          <w:p w14:paraId="129DCF14" w14:textId="5C7FE3D9" w:rsidR="00A80AC1" w:rsidRPr="0008162E" w:rsidRDefault="00A80AC1" w:rsidP="00A80AC1">
            <w:pPr>
              <w:keepN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color w:val="BFBFBF" w:themeColor="background1" w:themeShade="BF"/>
                <w:sz w:val="20"/>
                <w:szCs w:val="20"/>
              </w:rPr>
            </w:pPr>
            <w:r>
              <w:rPr>
                <w:rFonts w:cs="Calibri"/>
              </w:rPr>
              <w:t>-0.9</w:t>
            </w:r>
            <w:r w:rsidR="00631CDF">
              <w:rPr>
                <w:rFonts w:cs="Calibri"/>
              </w:rPr>
              <w:t>6</w:t>
            </w:r>
            <w:r>
              <w:rPr>
                <w:rFonts w:cs="Calibri"/>
              </w:rPr>
              <w:t>%</w:t>
            </w:r>
          </w:p>
        </w:tc>
        <w:tc>
          <w:tcPr>
            <w:tcW w:w="1250" w:type="pct"/>
            <w:noWrap/>
            <w:vAlign w:val="bottom"/>
          </w:tcPr>
          <w:p w14:paraId="4B1DF16E" w14:textId="252DDD2B" w:rsidR="00A80AC1" w:rsidRPr="0008162E" w:rsidRDefault="00A80AC1" w:rsidP="00A80AC1">
            <w:pPr>
              <w:keepN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color w:val="BFBFBF" w:themeColor="background1" w:themeShade="BF"/>
                <w:sz w:val="20"/>
                <w:szCs w:val="20"/>
              </w:rPr>
            </w:pPr>
            <w:r>
              <w:rPr>
                <w:rFonts w:cs="Calibri"/>
              </w:rPr>
              <w:t>-</w:t>
            </w:r>
            <w:r w:rsidR="00631CDF">
              <w:rPr>
                <w:rFonts w:cs="Calibri"/>
              </w:rPr>
              <w:t>1</w:t>
            </w:r>
            <w:r>
              <w:rPr>
                <w:rFonts w:cs="Calibri"/>
              </w:rPr>
              <w:t>.</w:t>
            </w:r>
            <w:r w:rsidR="00631CDF">
              <w:rPr>
                <w:rFonts w:cs="Calibri"/>
              </w:rPr>
              <w:t>12</w:t>
            </w:r>
            <w:r>
              <w:rPr>
                <w:rFonts w:cs="Calibri"/>
              </w:rPr>
              <w:t>%</w:t>
            </w:r>
          </w:p>
        </w:tc>
      </w:tr>
    </w:tbl>
    <w:p w14:paraId="3495BBFF" w14:textId="77777777" w:rsidR="00F22870" w:rsidRDefault="00F22870" w:rsidP="00F22870">
      <w:pPr>
        <w:autoSpaceDE w:val="0"/>
        <w:autoSpaceDN w:val="0"/>
        <w:adjustRightInd w:val="0"/>
        <w:spacing w:after="0" w:line="240" w:lineRule="auto"/>
        <w:jc w:val="both"/>
        <w:rPr>
          <w:rFonts w:cs="Calibri"/>
          <w:sz w:val="24"/>
          <w:szCs w:val="21"/>
        </w:rPr>
      </w:pPr>
    </w:p>
    <w:p w14:paraId="6F5A07F1" w14:textId="6E3D5D22" w:rsidR="00F22870" w:rsidRPr="00AC2BE2" w:rsidRDefault="00F22870" w:rsidP="00F22870">
      <w:pPr>
        <w:pStyle w:val="Caption"/>
      </w:pPr>
      <w:r w:rsidRPr="00793230">
        <w:rPr>
          <w:rFonts w:cs="Calibri"/>
          <w:color w:val="4F81BD"/>
          <w:sz w:val="20"/>
          <w:szCs w:val="20"/>
        </w:rPr>
        <w:t xml:space="preserve">Table </w:t>
      </w:r>
      <w:r w:rsidRPr="00793230">
        <w:rPr>
          <w:rFonts w:cs="Calibri"/>
          <w:color w:val="4F81BD"/>
          <w:sz w:val="20"/>
          <w:szCs w:val="20"/>
        </w:rPr>
        <w:fldChar w:fldCharType="begin"/>
      </w:r>
      <w:r w:rsidRPr="00793230">
        <w:rPr>
          <w:rFonts w:cs="Calibri"/>
          <w:color w:val="4F81BD"/>
          <w:sz w:val="20"/>
          <w:szCs w:val="20"/>
        </w:rPr>
        <w:instrText>SEQ Table \* ARABIC</w:instrText>
      </w:r>
      <w:r w:rsidRPr="00793230">
        <w:rPr>
          <w:rFonts w:cs="Calibri"/>
          <w:color w:val="4F81BD"/>
          <w:sz w:val="20"/>
          <w:szCs w:val="20"/>
        </w:rPr>
        <w:fldChar w:fldCharType="separate"/>
      </w:r>
      <w:r w:rsidR="00F573DA" w:rsidRPr="00793230">
        <w:rPr>
          <w:rFonts w:cs="Calibri"/>
          <w:color w:val="4F81BD"/>
          <w:sz w:val="20"/>
          <w:szCs w:val="20"/>
        </w:rPr>
        <w:t>7</w:t>
      </w:r>
      <w:r w:rsidRPr="00793230">
        <w:rPr>
          <w:rFonts w:cs="Calibri"/>
          <w:color w:val="4F81BD"/>
          <w:sz w:val="20"/>
          <w:szCs w:val="20"/>
        </w:rPr>
        <w:fldChar w:fldCharType="end"/>
      </w:r>
      <w:r w:rsidRPr="00793230">
        <w:rPr>
          <w:rFonts w:cs="Calibri"/>
          <w:color w:val="4F81BD"/>
          <w:sz w:val="20"/>
          <w:szCs w:val="20"/>
        </w:rPr>
        <w:t>. Income-Eligible All Programs w/o HERs – Rate and Bill Impact Analysis – A-60 (202</w:t>
      </w:r>
      <w:r w:rsidR="00897533">
        <w:rPr>
          <w:rFonts w:cs="Calibri"/>
          <w:color w:val="4F81BD"/>
          <w:sz w:val="20"/>
          <w:szCs w:val="20"/>
        </w:rPr>
        <w:t>4</w:t>
      </w:r>
      <w:r w:rsidRPr="00793230">
        <w:rPr>
          <w:rFonts w:cs="Calibri"/>
          <w:color w:val="4F81BD"/>
          <w:sz w:val="20"/>
          <w:szCs w:val="20"/>
        </w:rPr>
        <w:t xml:space="preserve"> EE Plan vs. No EE)</w:t>
      </w:r>
    </w:p>
    <w:tbl>
      <w:tblPr>
        <w:tblStyle w:val="ListTable3-Accent1"/>
        <w:tblW w:w="5000" w:type="pct"/>
        <w:shd w:val="clear" w:color="auto" w:fill="4F81BD" w:themeFill="accent1"/>
        <w:tblLook w:val="04A0" w:firstRow="1" w:lastRow="0" w:firstColumn="1" w:lastColumn="0" w:noHBand="0" w:noVBand="1"/>
      </w:tblPr>
      <w:tblGrid>
        <w:gridCol w:w="2213"/>
        <w:gridCol w:w="2461"/>
        <w:gridCol w:w="2338"/>
        <w:gridCol w:w="2338"/>
      </w:tblGrid>
      <w:tr w:rsidR="00F22870" w:rsidRPr="003D0109" w14:paraId="7BA8142F" w14:textId="77777777" w:rsidTr="003D0109">
        <w:trPr>
          <w:cnfStyle w:val="100000000000" w:firstRow="1" w:lastRow="0" w:firstColumn="0" w:lastColumn="0" w:oddVBand="0" w:evenVBand="0" w:oddHBand="0" w:evenHBand="0" w:firstRowFirstColumn="0" w:firstRowLastColumn="0" w:lastRowFirstColumn="0" w:lastRowLastColumn="0"/>
          <w:trHeight w:val="144"/>
        </w:trPr>
        <w:tc>
          <w:tcPr>
            <w:cnfStyle w:val="001000000100" w:firstRow="0" w:lastRow="0" w:firstColumn="1" w:lastColumn="0" w:oddVBand="0" w:evenVBand="0" w:oddHBand="0" w:evenHBand="0" w:firstRowFirstColumn="1" w:firstRowLastColumn="0" w:lastRowFirstColumn="0" w:lastRowLastColumn="0"/>
            <w:tcW w:w="1183" w:type="pct"/>
            <w:vMerge w:val="restart"/>
            <w:hideMark/>
          </w:tcPr>
          <w:p w14:paraId="6035F362" w14:textId="36F8B60A" w:rsidR="00F22870" w:rsidRPr="003D0109" w:rsidRDefault="00F22870" w:rsidP="00477C28">
            <w:pPr>
              <w:keepNext/>
              <w:spacing w:after="0" w:line="240" w:lineRule="auto"/>
              <w:rPr>
                <w:rFonts w:eastAsia="Times New Roman" w:cs="Arial"/>
                <w:b w:val="0"/>
                <w:sz w:val="20"/>
                <w:szCs w:val="20"/>
                <w:lang w:eastAsia="en-US"/>
              </w:rPr>
            </w:pPr>
            <w:r w:rsidRPr="003D0109">
              <w:rPr>
                <w:rFonts w:eastAsia="Times New Roman" w:cs="Arial"/>
                <w:sz w:val="20"/>
                <w:szCs w:val="20"/>
                <w:lang w:eastAsia="en-US"/>
              </w:rPr>
              <w:t>Income-Eligible (All Programs w/o HERs)</w:t>
            </w:r>
          </w:p>
        </w:tc>
        <w:tc>
          <w:tcPr>
            <w:tcW w:w="1316" w:type="pct"/>
            <w:hideMark/>
          </w:tcPr>
          <w:p w14:paraId="10C6CFD8" w14:textId="77777777" w:rsidR="00F22870" w:rsidRPr="003D0109" w:rsidRDefault="00F22870" w:rsidP="00477C28">
            <w:pPr>
              <w:keepNext/>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n-US"/>
              </w:rPr>
            </w:pPr>
            <w:r w:rsidRPr="003D0109">
              <w:rPr>
                <w:rFonts w:eastAsia="Times New Roman" w:cs="Arial"/>
                <w:sz w:val="20"/>
                <w:szCs w:val="20"/>
                <w:lang w:eastAsia="en-US"/>
              </w:rPr>
              <w:t>Long-Term Rate Impacts</w:t>
            </w:r>
          </w:p>
        </w:tc>
        <w:tc>
          <w:tcPr>
            <w:tcW w:w="1250" w:type="pct"/>
            <w:hideMark/>
          </w:tcPr>
          <w:p w14:paraId="362051C2" w14:textId="77777777" w:rsidR="00F22870" w:rsidRPr="003D0109" w:rsidRDefault="00F22870" w:rsidP="00477C28">
            <w:pPr>
              <w:keepNext/>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n-US"/>
              </w:rPr>
            </w:pPr>
            <w:r w:rsidRPr="003D0109">
              <w:rPr>
                <w:rFonts w:eastAsia="Times New Roman" w:cs="Arial"/>
                <w:sz w:val="20"/>
                <w:szCs w:val="20"/>
                <w:lang w:eastAsia="en-US"/>
              </w:rPr>
              <w:t>Typical Energy Savings</w:t>
            </w:r>
          </w:p>
        </w:tc>
        <w:tc>
          <w:tcPr>
            <w:tcW w:w="1250" w:type="pct"/>
            <w:hideMark/>
          </w:tcPr>
          <w:p w14:paraId="10ED5379" w14:textId="77777777" w:rsidR="00F22870" w:rsidRPr="003D0109" w:rsidRDefault="00F22870" w:rsidP="00477C28">
            <w:pPr>
              <w:keepNext/>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n-US"/>
              </w:rPr>
            </w:pPr>
            <w:r w:rsidRPr="003D0109">
              <w:rPr>
                <w:rFonts w:eastAsia="Times New Roman" w:cs="Arial"/>
                <w:sz w:val="20"/>
                <w:szCs w:val="20"/>
                <w:lang w:eastAsia="en-US"/>
              </w:rPr>
              <w:t>Typical Bill Savings</w:t>
            </w:r>
          </w:p>
        </w:tc>
      </w:tr>
      <w:tr w:rsidR="00F22870" w:rsidRPr="003D0109" w14:paraId="0FE7CAAB" w14:textId="77777777" w:rsidTr="003D0109">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183" w:type="pct"/>
            <w:vMerge/>
            <w:shd w:val="clear" w:color="auto" w:fill="4F81BD" w:themeFill="accent1"/>
            <w:noWrap/>
            <w:hideMark/>
          </w:tcPr>
          <w:p w14:paraId="7A1B36FF" w14:textId="77777777" w:rsidR="00F22870" w:rsidRPr="003D0109" w:rsidRDefault="00F22870" w:rsidP="00477C28">
            <w:pPr>
              <w:keepNext/>
              <w:spacing w:after="0" w:line="240" w:lineRule="auto"/>
              <w:rPr>
                <w:rFonts w:eastAsia="Times New Roman" w:cs="Arial"/>
                <w:b w:val="0"/>
                <w:sz w:val="20"/>
                <w:szCs w:val="20"/>
                <w:lang w:eastAsia="en-US"/>
              </w:rPr>
            </w:pPr>
          </w:p>
        </w:tc>
        <w:tc>
          <w:tcPr>
            <w:tcW w:w="1316" w:type="pct"/>
            <w:shd w:val="clear" w:color="auto" w:fill="4F81BD" w:themeFill="accent1"/>
            <w:noWrap/>
            <w:hideMark/>
          </w:tcPr>
          <w:p w14:paraId="0119D272" w14:textId="77777777" w:rsidR="00F22870" w:rsidRPr="003D0109" w:rsidRDefault="00F22870" w:rsidP="00477C28">
            <w:pPr>
              <w:keepNext/>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FFFFFF" w:themeColor="background1"/>
                <w:sz w:val="20"/>
                <w:szCs w:val="20"/>
                <w:lang w:eastAsia="en-US"/>
              </w:rPr>
            </w:pPr>
            <w:r w:rsidRPr="003D0109">
              <w:rPr>
                <w:rFonts w:eastAsia="Times New Roman" w:cs="Arial"/>
                <w:b/>
                <w:color w:val="FFFFFF" w:themeColor="background1"/>
                <w:sz w:val="20"/>
                <w:szCs w:val="20"/>
                <w:lang w:eastAsia="en-US"/>
              </w:rPr>
              <w:t>(% of Total Rate)</w:t>
            </w:r>
          </w:p>
        </w:tc>
        <w:tc>
          <w:tcPr>
            <w:tcW w:w="1250" w:type="pct"/>
            <w:shd w:val="clear" w:color="auto" w:fill="4F81BD" w:themeFill="accent1"/>
            <w:noWrap/>
            <w:hideMark/>
          </w:tcPr>
          <w:p w14:paraId="56AB11FD" w14:textId="77777777" w:rsidR="00F22870" w:rsidRPr="003D0109" w:rsidRDefault="00F22870" w:rsidP="00477C28">
            <w:pPr>
              <w:keepNext/>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FFFFFF" w:themeColor="background1"/>
                <w:sz w:val="20"/>
                <w:szCs w:val="20"/>
                <w:lang w:eastAsia="en-US"/>
              </w:rPr>
            </w:pPr>
            <w:r w:rsidRPr="003D0109">
              <w:rPr>
                <w:rFonts w:eastAsia="Times New Roman" w:cs="Arial"/>
                <w:b/>
                <w:color w:val="FFFFFF" w:themeColor="background1"/>
                <w:sz w:val="20"/>
                <w:szCs w:val="20"/>
                <w:lang w:eastAsia="en-US"/>
              </w:rPr>
              <w:t>(% per Participant)</w:t>
            </w:r>
          </w:p>
        </w:tc>
        <w:tc>
          <w:tcPr>
            <w:tcW w:w="1250" w:type="pct"/>
            <w:shd w:val="clear" w:color="auto" w:fill="4F81BD" w:themeFill="accent1"/>
            <w:noWrap/>
            <w:hideMark/>
          </w:tcPr>
          <w:p w14:paraId="7BDE080D" w14:textId="77777777" w:rsidR="00F22870" w:rsidRPr="003D0109" w:rsidRDefault="00F22870" w:rsidP="00477C28">
            <w:pPr>
              <w:keepNext/>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FFFFFF" w:themeColor="background1"/>
                <w:sz w:val="20"/>
                <w:szCs w:val="20"/>
                <w:lang w:eastAsia="en-US"/>
              </w:rPr>
            </w:pPr>
            <w:r w:rsidRPr="003D0109">
              <w:rPr>
                <w:rFonts w:eastAsia="Times New Roman" w:cs="Arial"/>
                <w:b/>
                <w:color w:val="FFFFFF" w:themeColor="background1"/>
                <w:sz w:val="20"/>
                <w:szCs w:val="20"/>
                <w:lang w:eastAsia="en-US"/>
              </w:rPr>
              <w:t>(% of Total Bill)</w:t>
            </w:r>
          </w:p>
        </w:tc>
      </w:tr>
      <w:tr w:rsidR="00476E6C" w:rsidRPr="003D0109" w14:paraId="04738654" w14:textId="77777777" w:rsidTr="001B3657">
        <w:trPr>
          <w:trHeight w:val="144"/>
        </w:trPr>
        <w:tc>
          <w:tcPr>
            <w:cnfStyle w:val="001000000000" w:firstRow="0" w:lastRow="0" w:firstColumn="1" w:lastColumn="0" w:oddVBand="0" w:evenVBand="0" w:oddHBand="0" w:evenHBand="0" w:firstRowFirstColumn="0" w:firstRowLastColumn="0" w:lastRowFirstColumn="0" w:lastRowLastColumn="0"/>
            <w:tcW w:w="1183" w:type="pct"/>
            <w:noWrap/>
            <w:hideMark/>
          </w:tcPr>
          <w:p w14:paraId="4A56C3FC" w14:textId="77777777" w:rsidR="00476E6C" w:rsidRPr="003D0109" w:rsidRDefault="00476E6C" w:rsidP="00476E6C">
            <w:pPr>
              <w:keepNext/>
              <w:spacing w:after="0" w:line="240" w:lineRule="auto"/>
              <w:rPr>
                <w:rFonts w:eastAsia="Times New Roman" w:cs="Arial"/>
                <w:b w:val="0"/>
                <w:bCs w:val="0"/>
                <w:sz w:val="20"/>
                <w:szCs w:val="20"/>
                <w:lang w:eastAsia="en-US"/>
              </w:rPr>
            </w:pPr>
            <w:r w:rsidRPr="003D0109">
              <w:rPr>
                <w:rFonts w:eastAsia="Times New Roman" w:cs="Arial"/>
                <w:b w:val="0"/>
                <w:bCs w:val="0"/>
                <w:sz w:val="20"/>
                <w:szCs w:val="20"/>
                <w:lang w:eastAsia="en-US"/>
              </w:rPr>
              <w:t>Average Participant</w:t>
            </w:r>
          </w:p>
        </w:tc>
        <w:tc>
          <w:tcPr>
            <w:tcW w:w="1316" w:type="pct"/>
            <w:shd w:val="clear" w:color="auto" w:fill="FFFFFF" w:themeFill="background1"/>
            <w:noWrap/>
            <w:vAlign w:val="bottom"/>
          </w:tcPr>
          <w:p w14:paraId="7DA9676B" w14:textId="02117081" w:rsidR="00476E6C" w:rsidRPr="0008162E" w:rsidRDefault="002A5F53" w:rsidP="00476E6C">
            <w:pPr>
              <w:keepN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color w:val="BFBFBF" w:themeColor="background1" w:themeShade="BF"/>
                <w:sz w:val="20"/>
                <w:szCs w:val="20"/>
              </w:rPr>
            </w:pPr>
            <w:r>
              <w:rPr>
                <w:rFonts w:cs="Calibri"/>
                <w:sz w:val="20"/>
                <w:szCs w:val="20"/>
              </w:rPr>
              <w:t>-</w:t>
            </w:r>
            <w:r w:rsidR="00476E6C" w:rsidRPr="0008162E">
              <w:rPr>
                <w:rFonts w:cs="Calibri"/>
                <w:sz w:val="20"/>
                <w:szCs w:val="20"/>
              </w:rPr>
              <w:t>0.1</w:t>
            </w:r>
            <w:r>
              <w:rPr>
                <w:rFonts w:cs="Calibri"/>
                <w:sz w:val="20"/>
                <w:szCs w:val="20"/>
              </w:rPr>
              <w:t>2</w:t>
            </w:r>
            <w:r w:rsidR="00476E6C" w:rsidRPr="0008162E">
              <w:rPr>
                <w:rFonts w:cs="Calibri"/>
                <w:sz w:val="20"/>
                <w:szCs w:val="20"/>
              </w:rPr>
              <w:t>%</w:t>
            </w:r>
          </w:p>
        </w:tc>
        <w:tc>
          <w:tcPr>
            <w:tcW w:w="1250" w:type="pct"/>
            <w:shd w:val="clear" w:color="auto" w:fill="FFFFFF" w:themeFill="background1"/>
            <w:noWrap/>
            <w:vAlign w:val="bottom"/>
          </w:tcPr>
          <w:p w14:paraId="66F18202" w14:textId="21247257" w:rsidR="00476E6C" w:rsidRPr="0008162E" w:rsidRDefault="00476E6C" w:rsidP="00476E6C">
            <w:pPr>
              <w:keepN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color w:val="BFBFBF" w:themeColor="background1" w:themeShade="BF"/>
                <w:sz w:val="20"/>
                <w:szCs w:val="20"/>
              </w:rPr>
            </w:pPr>
            <w:r w:rsidRPr="0008162E">
              <w:rPr>
                <w:rFonts w:cs="Calibri"/>
                <w:sz w:val="20"/>
                <w:szCs w:val="20"/>
              </w:rPr>
              <w:t>-</w:t>
            </w:r>
            <w:r w:rsidR="00A57F55">
              <w:rPr>
                <w:rFonts w:cs="Calibri"/>
                <w:sz w:val="20"/>
                <w:szCs w:val="20"/>
              </w:rPr>
              <w:t>6</w:t>
            </w:r>
            <w:r w:rsidRPr="0008162E">
              <w:rPr>
                <w:rFonts w:cs="Calibri"/>
                <w:sz w:val="20"/>
                <w:szCs w:val="20"/>
              </w:rPr>
              <w:t>.</w:t>
            </w:r>
            <w:r w:rsidR="00A57F55">
              <w:rPr>
                <w:rFonts w:cs="Calibri"/>
                <w:sz w:val="20"/>
                <w:szCs w:val="20"/>
              </w:rPr>
              <w:t>53</w:t>
            </w:r>
            <w:r w:rsidRPr="0008162E">
              <w:rPr>
                <w:rFonts w:cs="Calibri"/>
                <w:sz w:val="20"/>
                <w:szCs w:val="20"/>
              </w:rPr>
              <w:t>%</w:t>
            </w:r>
          </w:p>
        </w:tc>
        <w:tc>
          <w:tcPr>
            <w:tcW w:w="1250" w:type="pct"/>
            <w:shd w:val="clear" w:color="auto" w:fill="FFFFFF" w:themeFill="background1"/>
            <w:noWrap/>
            <w:vAlign w:val="bottom"/>
          </w:tcPr>
          <w:p w14:paraId="5A157698" w14:textId="074CB235" w:rsidR="00476E6C" w:rsidRPr="0008162E" w:rsidRDefault="00476E6C" w:rsidP="00476E6C">
            <w:pPr>
              <w:keepN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color w:val="BFBFBF" w:themeColor="background1" w:themeShade="BF"/>
                <w:sz w:val="20"/>
                <w:szCs w:val="20"/>
              </w:rPr>
            </w:pPr>
            <w:r w:rsidRPr="0008162E">
              <w:rPr>
                <w:rFonts w:cs="Calibri"/>
                <w:sz w:val="20"/>
                <w:szCs w:val="20"/>
              </w:rPr>
              <w:t>-</w:t>
            </w:r>
            <w:r w:rsidR="00A57F55">
              <w:rPr>
                <w:rFonts w:cs="Calibri"/>
                <w:sz w:val="20"/>
                <w:szCs w:val="20"/>
              </w:rPr>
              <w:t>6</w:t>
            </w:r>
            <w:r w:rsidRPr="0008162E">
              <w:rPr>
                <w:rFonts w:cs="Calibri"/>
                <w:sz w:val="20"/>
                <w:szCs w:val="20"/>
              </w:rPr>
              <w:t>.</w:t>
            </w:r>
            <w:r w:rsidR="00A57F55">
              <w:rPr>
                <w:rFonts w:cs="Calibri"/>
                <w:sz w:val="20"/>
                <w:szCs w:val="20"/>
              </w:rPr>
              <w:t>65</w:t>
            </w:r>
            <w:r w:rsidRPr="0008162E">
              <w:rPr>
                <w:rFonts w:cs="Calibri"/>
                <w:sz w:val="20"/>
                <w:szCs w:val="20"/>
              </w:rPr>
              <w:t>%</w:t>
            </w:r>
          </w:p>
        </w:tc>
      </w:tr>
      <w:tr w:rsidR="002A5F53" w:rsidRPr="003D0109" w14:paraId="678BD3AF" w14:textId="77777777" w:rsidTr="001B365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183" w:type="pct"/>
            <w:noWrap/>
            <w:hideMark/>
          </w:tcPr>
          <w:p w14:paraId="5EF50793" w14:textId="77777777" w:rsidR="002A5F53" w:rsidRPr="003D0109" w:rsidRDefault="002A5F53" w:rsidP="002A5F53">
            <w:pPr>
              <w:keepNext/>
              <w:spacing w:after="0" w:line="240" w:lineRule="auto"/>
              <w:rPr>
                <w:rFonts w:eastAsia="Times New Roman" w:cs="Arial"/>
                <w:b w:val="0"/>
                <w:bCs w:val="0"/>
                <w:sz w:val="20"/>
                <w:szCs w:val="20"/>
                <w:lang w:eastAsia="en-US"/>
              </w:rPr>
            </w:pPr>
            <w:r w:rsidRPr="003D0109">
              <w:rPr>
                <w:rFonts w:eastAsia="Times New Roman" w:cs="Arial"/>
                <w:b w:val="0"/>
                <w:bCs w:val="0"/>
                <w:sz w:val="20"/>
                <w:szCs w:val="20"/>
                <w:lang w:eastAsia="en-US"/>
              </w:rPr>
              <w:t>Non-Participant</w:t>
            </w:r>
          </w:p>
        </w:tc>
        <w:tc>
          <w:tcPr>
            <w:tcW w:w="1316" w:type="pct"/>
            <w:shd w:val="clear" w:color="auto" w:fill="FFFFFF" w:themeFill="background1"/>
            <w:noWrap/>
            <w:vAlign w:val="bottom"/>
          </w:tcPr>
          <w:p w14:paraId="7930820B" w14:textId="23A411F3" w:rsidR="002A5F53" w:rsidRPr="0008162E" w:rsidRDefault="002A5F53" w:rsidP="002A5F53">
            <w:pPr>
              <w:keepN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BFBFBF" w:themeColor="background1" w:themeShade="BF"/>
                <w:sz w:val="20"/>
                <w:szCs w:val="20"/>
              </w:rPr>
            </w:pPr>
            <w:r>
              <w:rPr>
                <w:rFonts w:cs="Calibri"/>
                <w:sz w:val="20"/>
                <w:szCs w:val="20"/>
              </w:rPr>
              <w:t>-</w:t>
            </w:r>
            <w:r w:rsidRPr="0008162E">
              <w:rPr>
                <w:rFonts w:cs="Calibri"/>
                <w:sz w:val="20"/>
                <w:szCs w:val="20"/>
              </w:rPr>
              <w:t>0.1</w:t>
            </w:r>
            <w:r>
              <w:rPr>
                <w:rFonts w:cs="Calibri"/>
                <w:sz w:val="20"/>
                <w:szCs w:val="20"/>
              </w:rPr>
              <w:t>2</w:t>
            </w:r>
            <w:r w:rsidRPr="0008162E">
              <w:rPr>
                <w:rFonts w:cs="Calibri"/>
                <w:sz w:val="20"/>
                <w:szCs w:val="20"/>
              </w:rPr>
              <w:t>%</w:t>
            </w:r>
          </w:p>
        </w:tc>
        <w:tc>
          <w:tcPr>
            <w:tcW w:w="1250" w:type="pct"/>
            <w:shd w:val="clear" w:color="auto" w:fill="FFFFFF" w:themeFill="background1"/>
            <w:noWrap/>
            <w:vAlign w:val="bottom"/>
          </w:tcPr>
          <w:p w14:paraId="54F9D28F" w14:textId="7CAAC371" w:rsidR="002A5F53" w:rsidRPr="0008162E" w:rsidRDefault="002A5F53" w:rsidP="002A5F53">
            <w:pPr>
              <w:keepN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BFBFBF" w:themeColor="background1" w:themeShade="BF"/>
                <w:sz w:val="20"/>
                <w:szCs w:val="20"/>
              </w:rPr>
            </w:pPr>
            <w:r w:rsidRPr="0008162E">
              <w:rPr>
                <w:rFonts w:cs="Calibri"/>
                <w:sz w:val="20"/>
                <w:szCs w:val="20"/>
              </w:rPr>
              <w:t>0.00%</w:t>
            </w:r>
          </w:p>
        </w:tc>
        <w:tc>
          <w:tcPr>
            <w:tcW w:w="1250" w:type="pct"/>
            <w:shd w:val="clear" w:color="auto" w:fill="FFFFFF" w:themeFill="background1"/>
            <w:noWrap/>
            <w:vAlign w:val="bottom"/>
          </w:tcPr>
          <w:p w14:paraId="0F0FADD1" w14:textId="07A6033E" w:rsidR="002A5F53" w:rsidRPr="0008162E" w:rsidRDefault="00A57F55" w:rsidP="002A5F53">
            <w:pPr>
              <w:keepN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BFBFBF" w:themeColor="background1" w:themeShade="BF"/>
                <w:sz w:val="20"/>
                <w:szCs w:val="20"/>
              </w:rPr>
            </w:pPr>
            <w:r>
              <w:rPr>
                <w:rFonts w:cs="Calibri"/>
                <w:sz w:val="20"/>
                <w:szCs w:val="20"/>
              </w:rPr>
              <w:t>-</w:t>
            </w:r>
            <w:r w:rsidR="002A5F53" w:rsidRPr="0008162E">
              <w:rPr>
                <w:rFonts w:cs="Calibri"/>
                <w:sz w:val="20"/>
                <w:szCs w:val="20"/>
              </w:rPr>
              <w:t>0.</w:t>
            </w:r>
            <w:r>
              <w:rPr>
                <w:rFonts w:cs="Calibri"/>
                <w:sz w:val="20"/>
                <w:szCs w:val="20"/>
              </w:rPr>
              <w:t>15</w:t>
            </w:r>
            <w:r w:rsidR="002A5F53" w:rsidRPr="0008162E">
              <w:rPr>
                <w:rFonts w:cs="Calibri"/>
                <w:sz w:val="20"/>
                <w:szCs w:val="20"/>
              </w:rPr>
              <w:t>%</w:t>
            </w:r>
          </w:p>
        </w:tc>
      </w:tr>
      <w:tr w:rsidR="002A5F53" w:rsidRPr="003D0109" w14:paraId="2D9BF2AC" w14:textId="77777777" w:rsidTr="001B3657">
        <w:trPr>
          <w:trHeight w:val="144"/>
        </w:trPr>
        <w:tc>
          <w:tcPr>
            <w:cnfStyle w:val="001000000000" w:firstRow="0" w:lastRow="0" w:firstColumn="1" w:lastColumn="0" w:oddVBand="0" w:evenVBand="0" w:oddHBand="0" w:evenHBand="0" w:firstRowFirstColumn="0" w:firstRowLastColumn="0" w:lastRowFirstColumn="0" w:lastRowLastColumn="0"/>
            <w:tcW w:w="1183" w:type="pct"/>
            <w:noWrap/>
            <w:hideMark/>
          </w:tcPr>
          <w:p w14:paraId="7A44D995" w14:textId="77777777" w:rsidR="002A5F53" w:rsidRPr="003D0109" w:rsidRDefault="002A5F53" w:rsidP="002A5F53">
            <w:pPr>
              <w:keepNext/>
              <w:spacing w:after="0" w:line="240" w:lineRule="auto"/>
              <w:rPr>
                <w:rFonts w:eastAsia="Times New Roman" w:cs="Arial"/>
                <w:b w:val="0"/>
                <w:bCs w:val="0"/>
                <w:sz w:val="20"/>
                <w:szCs w:val="20"/>
                <w:lang w:eastAsia="en-US"/>
              </w:rPr>
            </w:pPr>
            <w:r w:rsidRPr="003D0109">
              <w:rPr>
                <w:rFonts w:eastAsia="Times New Roman" w:cs="Arial"/>
                <w:b w:val="0"/>
                <w:bCs w:val="0"/>
                <w:sz w:val="20"/>
                <w:szCs w:val="20"/>
                <w:lang w:eastAsia="en-US"/>
              </w:rPr>
              <w:t>Average Customer</w:t>
            </w:r>
          </w:p>
        </w:tc>
        <w:tc>
          <w:tcPr>
            <w:tcW w:w="1316" w:type="pct"/>
            <w:shd w:val="clear" w:color="auto" w:fill="FFFFFF" w:themeFill="background1"/>
            <w:noWrap/>
            <w:vAlign w:val="bottom"/>
          </w:tcPr>
          <w:p w14:paraId="3E5C1061" w14:textId="74FECCA1" w:rsidR="002A5F53" w:rsidRPr="0008162E" w:rsidRDefault="002A5F53" w:rsidP="002A5F53">
            <w:pPr>
              <w:keepN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color w:val="BFBFBF" w:themeColor="background1" w:themeShade="BF"/>
                <w:sz w:val="20"/>
                <w:szCs w:val="20"/>
              </w:rPr>
            </w:pPr>
            <w:r>
              <w:rPr>
                <w:rFonts w:cs="Calibri"/>
                <w:sz w:val="20"/>
                <w:szCs w:val="20"/>
              </w:rPr>
              <w:t>-</w:t>
            </w:r>
            <w:r w:rsidRPr="0008162E">
              <w:rPr>
                <w:rFonts w:cs="Calibri"/>
                <w:sz w:val="20"/>
                <w:szCs w:val="20"/>
              </w:rPr>
              <w:t>0.1</w:t>
            </w:r>
            <w:r>
              <w:rPr>
                <w:rFonts w:cs="Calibri"/>
                <w:sz w:val="20"/>
                <w:szCs w:val="20"/>
              </w:rPr>
              <w:t>2</w:t>
            </w:r>
            <w:r w:rsidRPr="0008162E">
              <w:rPr>
                <w:rFonts w:cs="Calibri"/>
                <w:sz w:val="20"/>
                <w:szCs w:val="20"/>
              </w:rPr>
              <w:t>%</w:t>
            </w:r>
          </w:p>
        </w:tc>
        <w:tc>
          <w:tcPr>
            <w:tcW w:w="1250" w:type="pct"/>
            <w:shd w:val="clear" w:color="auto" w:fill="FFFFFF" w:themeFill="background1"/>
            <w:noWrap/>
            <w:vAlign w:val="bottom"/>
          </w:tcPr>
          <w:p w14:paraId="6CED3EC4" w14:textId="5671635B" w:rsidR="002A5F53" w:rsidRPr="0008162E" w:rsidRDefault="002A5F53" w:rsidP="002A5F53">
            <w:pPr>
              <w:keepN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color w:val="BFBFBF" w:themeColor="background1" w:themeShade="BF"/>
                <w:sz w:val="20"/>
                <w:szCs w:val="20"/>
              </w:rPr>
            </w:pPr>
            <w:r w:rsidRPr="0008162E">
              <w:rPr>
                <w:rFonts w:cs="Calibri"/>
                <w:sz w:val="20"/>
                <w:szCs w:val="20"/>
              </w:rPr>
              <w:t>-0.</w:t>
            </w:r>
            <w:r w:rsidR="00A57F55">
              <w:rPr>
                <w:rFonts w:cs="Calibri"/>
                <w:sz w:val="20"/>
                <w:szCs w:val="20"/>
              </w:rPr>
              <w:t>92</w:t>
            </w:r>
            <w:r w:rsidRPr="0008162E">
              <w:rPr>
                <w:rFonts w:cs="Calibri"/>
                <w:sz w:val="20"/>
                <w:szCs w:val="20"/>
              </w:rPr>
              <w:t>%</w:t>
            </w:r>
          </w:p>
        </w:tc>
        <w:tc>
          <w:tcPr>
            <w:tcW w:w="1250" w:type="pct"/>
            <w:shd w:val="clear" w:color="auto" w:fill="FFFFFF" w:themeFill="background1"/>
            <w:noWrap/>
            <w:vAlign w:val="bottom"/>
          </w:tcPr>
          <w:p w14:paraId="648DC3C3" w14:textId="49ED788A" w:rsidR="002A5F53" w:rsidRPr="0008162E" w:rsidRDefault="002A5F53" w:rsidP="002A5F53">
            <w:pPr>
              <w:keepN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color w:val="BFBFBF" w:themeColor="background1" w:themeShade="BF"/>
                <w:sz w:val="20"/>
                <w:szCs w:val="20"/>
              </w:rPr>
            </w:pPr>
            <w:r w:rsidRPr="0008162E">
              <w:rPr>
                <w:rFonts w:cs="Calibri"/>
                <w:sz w:val="20"/>
                <w:szCs w:val="20"/>
              </w:rPr>
              <w:t>-</w:t>
            </w:r>
            <w:r w:rsidR="00A57F55">
              <w:rPr>
                <w:rFonts w:cs="Calibri"/>
                <w:sz w:val="20"/>
                <w:szCs w:val="20"/>
              </w:rPr>
              <w:t>1</w:t>
            </w:r>
            <w:r w:rsidRPr="0008162E">
              <w:rPr>
                <w:rFonts w:cs="Calibri"/>
                <w:sz w:val="20"/>
                <w:szCs w:val="20"/>
              </w:rPr>
              <w:t>.</w:t>
            </w:r>
            <w:r w:rsidR="00A57F55">
              <w:rPr>
                <w:rFonts w:cs="Calibri"/>
                <w:sz w:val="20"/>
                <w:szCs w:val="20"/>
              </w:rPr>
              <w:t>07</w:t>
            </w:r>
            <w:r w:rsidRPr="0008162E">
              <w:rPr>
                <w:rFonts w:cs="Calibri"/>
                <w:sz w:val="20"/>
                <w:szCs w:val="20"/>
              </w:rPr>
              <w:t>%</w:t>
            </w:r>
          </w:p>
        </w:tc>
      </w:tr>
    </w:tbl>
    <w:p w14:paraId="52B97A5D" w14:textId="77777777" w:rsidR="00F22870" w:rsidRDefault="00F22870" w:rsidP="00F22870">
      <w:pPr>
        <w:autoSpaceDE w:val="0"/>
        <w:autoSpaceDN w:val="0"/>
        <w:adjustRightInd w:val="0"/>
        <w:spacing w:after="0" w:line="240" w:lineRule="auto"/>
        <w:jc w:val="both"/>
        <w:rPr>
          <w:rFonts w:cs="Calibri"/>
          <w:sz w:val="24"/>
          <w:szCs w:val="21"/>
        </w:rPr>
      </w:pPr>
    </w:p>
    <w:p w14:paraId="30981F5F" w14:textId="0FDE874A" w:rsidR="00F22870" w:rsidRPr="00793230" w:rsidRDefault="00F22870" w:rsidP="00F22870">
      <w:pPr>
        <w:pStyle w:val="Caption"/>
        <w:rPr>
          <w:rFonts w:cs="Calibri"/>
          <w:color w:val="4F81BD"/>
          <w:sz w:val="20"/>
          <w:szCs w:val="20"/>
        </w:rPr>
      </w:pPr>
      <w:r w:rsidRPr="00793230">
        <w:rPr>
          <w:rFonts w:cs="Calibri"/>
          <w:color w:val="4F81BD"/>
          <w:sz w:val="20"/>
          <w:szCs w:val="20"/>
        </w:rPr>
        <w:t xml:space="preserve">Table </w:t>
      </w:r>
      <w:r w:rsidRPr="00793230">
        <w:rPr>
          <w:rFonts w:cs="Calibri"/>
          <w:color w:val="4F81BD"/>
          <w:sz w:val="20"/>
          <w:szCs w:val="20"/>
        </w:rPr>
        <w:fldChar w:fldCharType="begin"/>
      </w:r>
      <w:r w:rsidRPr="00793230">
        <w:rPr>
          <w:rFonts w:cs="Calibri"/>
          <w:color w:val="4F81BD"/>
          <w:sz w:val="20"/>
          <w:szCs w:val="20"/>
        </w:rPr>
        <w:instrText>SEQ Table \* ARABIC</w:instrText>
      </w:r>
      <w:r w:rsidRPr="00793230">
        <w:rPr>
          <w:rFonts w:cs="Calibri"/>
          <w:color w:val="4F81BD"/>
          <w:sz w:val="20"/>
          <w:szCs w:val="20"/>
        </w:rPr>
        <w:fldChar w:fldCharType="separate"/>
      </w:r>
      <w:r w:rsidR="00F573DA" w:rsidRPr="00793230">
        <w:rPr>
          <w:rFonts w:cs="Calibri"/>
          <w:color w:val="4F81BD"/>
          <w:sz w:val="20"/>
          <w:szCs w:val="20"/>
        </w:rPr>
        <w:t>8</w:t>
      </w:r>
      <w:r w:rsidRPr="00793230">
        <w:rPr>
          <w:rFonts w:cs="Calibri"/>
          <w:color w:val="4F81BD"/>
          <w:sz w:val="20"/>
          <w:szCs w:val="20"/>
        </w:rPr>
        <w:fldChar w:fldCharType="end"/>
      </w:r>
      <w:r w:rsidRPr="00793230">
        <w:rPr>
          <w:rFonts w:cs="Calibri"/>
          <w:color w:val="4F81BD"/>
          <w:sz w:val="20"/>
          <w:szCs w:val="20"/>
        </w:rPr>
        <w:t>. Income-Eligible HERs Only – Rate and Bill Impact Analysis – A-60 (202</w:t>
      </w:r>
      <w:r w:rsidR="00897533">
        <w:rPr>
          <w:rFonts w:cs="Calibri"/>
          <w:color w:val="4F81BD"/>
          <w:sz w:val="20"/>
          <w:szCs w:val="20"/>
        </w:rPr>
        <w:t>4</w:t>
      </w:r>
      <w:r w:rsidRPr="00793230">
        <w:rPr>
          <w:rFonts w:cs="Calibri"/>
          <w:color w:val="4F81BD"/>
          <w:sz w:val="20"/>
          <w:szCs w:val="20"/>
        </w:rPr>
        <w:t xml:space="preserve"> EE Plan vs. No EE)</w:t>
      </w:r>
    </w:p>
    <w:tbl>
      <w:tblPr>
        <w:tblStyle w:val="ListTable3-Accent1"/>
        <w:tblW w:w="5000" w:type="pct"/>
        <w:tblLook w:val="04A0" w:firstRow="1" w:lastRow="0" w:firstColumn="1" w:lastColumn="0" w:noHBand="0" w:noVBand="1"/>
      </w:tblPr>
      <w:tblGrid>
        <w:gridCol w:w="2213"/>
        <w:gridCol w:w="2461"/>
        <w:gridCol w:w="2338"/>
        <w:gridCol w:w="2338"/>
      </w:tblGrid>
      <w:tr w:rsidR="00F22870" w:rsidRPr="003D0109" w14:paraId="654D4297" w14:textId="77777777" w:rsidTr="003D0109">
        <w:trPr>
          <w:cnfStyle w:val="100000000000" w:firstRow="1" w:lastRow="0" w:firstColumn="0" w:lastColumn="0" w:oddVBand="0" w:evenVBand="0" w:oddHBand="0" w:evenHBand="0" w:firstRowFirstColumn="0" w:firstRowLastColumn="0" w:lastRowFirstColumn="0" w:lastRowLastColumn="0"/>
          <w:trHeight w:val="142"/>
        </w:trPr>
        <w:tc>
          <w:tcPr>
            <w:cnfStyle w:val="001000000100" w:firstRow="0" w:lastRow="0" w:firstColumn="1" w:lastColumn="0" w:oddVBand="0" w:evenVBand="0" w:oddHBand="0" w:evenHBand="0" w:firstRowFirstColumn="1" w:firstRowLastColumn="0" w:lastRowFirstColumn="0" w:lastRowLastColumn="0"/>
            <w:tcW w:w="1183" w:type="pct"/>
            <w:vMerge w:val="restart"/>
            <w:hideMark/>
          </w:tcPr>
          <w:p w14:paraId="0FC80C09" w14:textId="6B6AE07F" w:rsidR="00F22870" w:rsidRPr="003D0109" w:rsidRDefault="00F22870" w:rsidP="00477C28">
            <w:pPr>
              <w:keepNext/>
              <w:spacing w:after="0" w:line="240" w:lineRule="auto"/>
              <w:rPr>
                <w:rFonts w:eastAsia="Times New Roman" w:cs="Arial"/>
                <w:b w:val="0"/>
                <w:sz w:val="20"/>
                <w:szCs w:val="20"/>
                <w:lang w:eastAsia="en-US"/>
              </w:rPr>
            </w:pPr>
            <w:r w:rsidRPr="003D0109">
              <w:rPr>
                <w:rFonts w:eastAsia="Times New Roman" w:cs="Arial"/>
                <w:sz w:val="20"/>
                <w:szCs w:val="20"/>
                <w:lang w:eastAsia="en-US"/>
              </w:rPr>
              <w:t>Income-Eligible (HERs Only)</w:t>
            </w:r>
          </w:p>
        </w:tc>
        <w:tc>
          <w:tcPr>
            <w:tcW w:w="1316" w:type="pct"/>
            <w:hideMark/>
          </w:tcPr>
          <w:p w14:paraId="08826FDE" w14:textId="77777777" w:rsidR="00F22870" w:rsidRPr="003D0109" w:rsidRDefault="00F22870" w:rsidP="00477C28">
            <w:pPr>
              <w:keepNext/>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n-US"/>
              </w:rPr>
            </w:pPr>
            <w:r w:rsidRPr="003D0109">
              <w:rPr>
                <w:rFonts w:eastAsia="Times New Roman" w:cs="Arial"/>
                <w:sz w:val="20"/>
                <w:szCs w:val="20"/>
                <w:lang w:eastAsia="en-US"/>
              </w:rPr>
              <w:t>Long-Term Rate Impacts</w:t>
            </w:r>
          </w:p>
        </w:tc>
        <w:tc>
          <w:tcPr>
            <w:tcW w:w="1250" w:type="pct"/>
            <w:hideMark/>
          </w:tcPr>
          <w:p w14:paraId="0F0A4CC7" w14:textId="77777777" w:rsidR="00F22870" w:rsidRPr="003D0109" w:rsidRDefault="00F22870" w:rsidP="00477C28">
            <w:pPr>
              <w:keepNext/>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n-US"/>
              </w:rPr>
            </w:pPr>
            <w:r w:rsidRPr="003D0109">
              <w:rPr>
                <w:rFonts w:eastAsia="Times New Roman" w:cs="Arial"/>
                <w:sz w:val="20"/>
                <w:szCs w:val="20"/>
                <w:lang w:eastAsia="en-US"/>
              </w:rPr>
              <w:t>Typical Energy Savings</w:t>
            </w:r>
          </w:p>
        </w:tc>
        <w:tc>
          <w:tcPr>
            <w:tcW w:w="1250" w:type="pct"/>
            <w:hideMark/>
          </w:tcPr>
          <w:p w14:paraId="19301974" w14:textId="77777777" w:rsidR="00F22870" w:rsidRPr="003D0109" w:rsidRDefault="00F22870" w:rsidP="00477C28">
            <w:pPr>
              <w:keepNext/>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n-US"/>
              </w:rPr>
            </w:pPr>
            <w:r w:rsidRPr="003D0109">
              <w:rPr>
                <w:rFonts w:eastAsia="Times New Roman" w:cs="Arial"/>
                <w:sz w:val="20"/>
                <w:szCs w:val="20"/>
                <w:lang w:eastAsia="en-US"/>
              </w:rPr>
              <w:t>Typical Bill Savings</w:t>
            </w:r>
          </w:p>
        </w:tc>
      </w:tr>
      <w:tr w:rsidR="00F22870" w:rsidRPr="003D0109" w14:paraId="66501356" w14:textId="77777777" w:rsidTr="003D0109">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1183" w:type="pct"/>
            <w:vMerge/>
            <w:noWrap/>
            <w:hideMark/>
          </w:tcPr>
          <w:p w14:paraId="600097AF" w14:textId="77777777" w:rsidR="00F22870" w:rsidRPr="003D0109" w:rsidRDefault="00F22870" w:rsidP="00477C28">
            <w:pPr>
              <w:keepNext/>
              <w:spacing w:after="0" w:line="240" w:lineRule="auto"/>
              <w:rPr>
                <w:rFonts w:eastAsia="Times New Roman" w:cs="Arial"/>
                <w:b w:val="0"/>
                <w:sz w:val="20"/>
                <w:szCs w:val="20"/>
                <w:lang w:eastAsia="en-US"/>
              </w:rPr>
            </w:pPr>
          </w:p>
        </w:tc>
        <w:tc>
          <w:tcPr>
            <w:tcW w:w="1316" w:type="pct"/>
            <w:shd w:val="clear" w:color="auto" w:fill="4F81BD" w:themeFill="accent1"/>
            <w:noWrap/>
            <w:hideMark/>
          </w:tcPr>
          <w:p w14:paraId="11C805F2" w14:textId="77777777" w:rsidR="00F22870" w:rsidRPr="003D0109" w:rsidRDefault="00F22870" w:rsidP="00477C28">
            <w:pPr>
              <w:keepNext/>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FFFFFF" w:themeColor="background1"/>
                <w:sz w:val="20"/>
                <w:szCs w:val="20"/>
                <w:lang w:eastAsia="en-US"/>
              </w:rPr>
            </w:pPr>
            <w:r w:rsidRPr="003D0109">
              <w:rPr>
                <w:rFonts w:eastAsia="Times New Roman" w:cs="Arial"/>
                <w:b/>
                <w:color w:val="FFFFFF" w:themeColor="background1"/>
                <w:sz w:val="20"/>
                <w:szCs w:val="20"/>
                <w:lang w:eastAsia="en-US"/>
              </w:rPr>
              <w:t>(% of Total Rate)</w:t>
            </w:r>
          </w:p>
        </w:tc>
        <w:tc>
          <w:tcPr>
            <w:tcW w:w="1250" w:type="pct"/>
            <w:shd w:val="clear" w:color="auto" w:fill="4F81BD" w:themeFill="accent1"/>
            <w:noWrap/>
            <w:hideMark/>
          </w:tcPr>
          <w:p w14:paraId="4198C192" w14:textId="77777777" w:rsidR="00F22870" w:rsidRPr="003D0109" w:rsidRDefault="00F22870" w:rsidP="00477C28">
            <w:pPr>
              <w:keepNext/>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FFFFFF" w:themeColor="background1"/>
                <w:sz w:val="20"/>
                <w:szCs w:val="20"/>
                <w:lang w:eastAsia="en-US"/>
              </w:rPr>
            </w:pPr>
            <w:r w:rsidRPr="003D0109">
              <w:rPr>
                <w:rFonts w:eastAsia="Times New Roman" w:cs="Arial"/>
                <w:b/>
                <w:color w:val="FFFFFF" w:themeColor="background1"/>
                <w:sz w:val="20"/>
                <w:szCs w:val="20"/>
                <w:lang w:eastAsia="en-US"/>
              </w:rPr>
              <w:t>(% per Participant)</w:t>
            </w:r>
          </w:p>
        </w:tc>
        <w:tc>
          <w:tcPr>
            <w:tcW w:w="1250" w:type="pct"/>
            <w:shd w:val="clear" w:color="auto" w:fill="4F81BD" w:themeFill="accent1"/>
            <w:noWrap/>
            <w:hideMark/>
          </w:tcPr>
          <w:p w14:paraId="1C46E1C5" w14:textId="77777777" w:rsidR="00F22870" w:rsidRPr="003D0109" w:rsidRDefault="00F22870" w:rsidP="00477C28">
            <w:pPr>
              <w:keepNext/>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FFFFFF" w:themeColor="background1"/>
                <w:sz w:val="20"/>
                <w:szCs w:val="20"/>
                <w:lang w:eastAsia="en-US"/>
              </w:rPr>
            </w:pPr>
            <w:r w:rsidRPr="003D0109">
              <w:rPr>
                <w:rFonts w:eastAsia="Times New Roman" w:cs="Arial"/>
                <w:b/>
                <w:color w:val="FFFFFF" w:themeColor="background1"/>
                <w:sz w:val="20"/>
                <w:szCs w:val="20"/>
                <w:lang w:eastAsia="en-US"/>
              </w:rPr>
              <w:t>(% of Total Bill)</w:t>
            </w:r>
          </w:p>
        </w:tc>
      </w:tr>
      <w:tr w:rsidR="004B53A1" w:rsidRPr="003D0109" w14:paraId="68BD019B" w14:textId="77777777" w:rsidTr="003D0109">
        <w:trPr>
          <w:trHeight w:val="144"/>
        </w:trPr>
        <w:tc>
          <w:tcPr>
            <w:cnfStyle w:val="001000000000" w:firstRow="0" w:lastRow="0" w:firstColumn="1" w:lastColumn="0" w:oddVBand="0" w:evenVBand="0" w:oddHBand="0" w:evenHBand="0" w:firstRowFirstColumn="0" w:firstRowLastColumn="0" w:lastRowFirstColumn="0" w:lastRowLastColumn="0"/>
            <w:tcW w:w="1183" w:type="pct"/>
            <w:noWrap/>
            <w:hideMark/>
          </w:tcPr>
          <w:p w14:paraId="2902C31A" w14:textId="77777777" w:rsidR="004B53A1" w:rsidRPr="005A7813" w:rsidRDefault="004B53A1" w:rsidP="004B53A1">
            <w:pPr>
              <w:keepNext/>
              <w:spacing w:after="0" w:line="240" w:lineRule="auto"/>
              <w:rPr>
                <w:rFonts w:eastAsia="Times New Roman" w:cs="Arial"/>
                <w:b w:val="0"/>
                <w:bCs w:val="0"/>
                <w:sz w:val="20"/>
                <w:szCs w:val="20"/>
                <w:lang w:eastAsia="en-US"/>
              </w:rPr>
            </w:pPr>
            <w:r w:rsidRPr="005A7813">
              <w:rPr>
                <w:rFonts w:eastAsia="Times New Roman" w:cs="Arial"/>
                <w:b w:val="0"/>
                <w:bCs w:val="0"/>
                <w:sz w:val="20"/>
                <w:szCs w:val="20"/>
                <w:lang w:eastAsia="en-US"/>
              </w:rPr>
              <w:t>Average Participant</w:t>
            </w:r>
          </w:p>
        </w:tc>
        <w:tc>
          <w:tcPr>
            <w:tcW w:w="1316" w:type="pct"/>
            <w:noWrap/>
          </w:tcPr>
          <w:p w14:paraId="6A0395C2" w14:textId="0A148BDB" w:rsidR="004B53A1" w:rsidRPr="003D72FF" w:rsidRDefault="009425E5" w:rsidP="004B53A1">
            <w:pPr>
              <w:keepNext/>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US"/>
              </w:rPr>
            </w:pPr>
            <w:r>
              <w:rPr>
                <w:rFonts w:cs="Calibri"/>
                <w:sz w:val="20"/>
                <w:szCs w:val="20"/>
              </w:rPr>
              <w:t>-</w:t>
            </w:r>
            <w:r w:rsidR="00935F5C" w:rsidRPr="003D72FF">
              <w:rPr>
                <w:rFonts w:cs="Calibri"/>
                <w:sz w:val="20"/>
                <w:szCs w:val="20"/>
              </w:rPr>
              <w:t>0.0</w:t>
            </w:r>
            <w:r>
              <w:rPr>
                <w:rFonts w:cs="Calibri"/>
                <w:sz w:val="20"/>
                <w:szCs w:val="20"/>
              </w:rPr>
              <w:t>5</w:t>
            </w:r>
            <w:r w:rsidR="00935F5C" w:rsidRPr="003D72FF">
              <w:rPr>
                <w:rFonts w:cs="Calibri"/>
                <w:sz w:val="20"/>
                <w:szCs w:val="20"/>
              </w:rPr>
              <w:t>%</w:t>
            </w:r>
          </w:p>
        </w:tc>
        <w:tc>
          <w:tcPr>
            <w:tcW w:w="1250" w:type="pct"/>
            <w:noWrap/>
          </w:tcPr>
          <w:p w14:paraId="26952119" w14:textId="466AF028" w:rsidR="004B53A1" w:rsidRPr="003D72FF" w:rsidRDefault="00935F5C" w:rsidP="004B53A1">
            <w:pPr>
              <w:keepNext/>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US"/>
              </w:rPr>
            </w:pPr>
            <w:r w:rsidRPr="003D72FF">
              <w:rPr>
                <w:rFonts w:cs="Calibri"/>
                <w:sz w:val="20"/>
                <w:szCs w:val="20"/>
              </w:rPr>
              <w:t>-0.06%</w:t>
            </w:r>
          </w:p>
        </w:tc>
        <w:tc>
          <w:tcPr>
            <w:tcW w:w="1250" w:type="pct"/>
            <w:noWrap/>
          </w:tcPr>
          <w:p w14:paraId="42238BF5" w14:textId="68B2163B" w:rsidR="004B53A1" w:rsidRPr="003D72FF" w:rsidRDefault="00935F5C" w:rsidP="004B53A1">
            <w:pPr>
              <w:keepNext/>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US"/>
              </w:rPr>
            </w:pPr>
            <w:r w:rsidRPr="003D72FF">
              <w:rPr>
                <w:rFonts w:cs="Calibri"/>
                <w:sz w:val="20"/>
                <w:szCs w:val="20"/>
              </w:rPr>
              <w:t>-0.</w:t>
            </w:r>
            <w:r w:rsidR="009425E5">
              <w:rPr>
                <w:rFonts w:cs="Calibri"/>
                <w:sz w:val="20"/>
                <w:szCs w:val="20"/>
              </w:rPr>
              <w:t>11</w:t>
            </w:r>
            <w:r w:rsidRPr="003D72FF">
              <w:rPr>
                <w:rFonts w:cs="Calibri"/>
                <w:sz w:val="20"/>
                <w:szCs w:val="20"/>
              </w:rPr>
              <w:t>%</w:t>
            </w:r>
          </w:p>
        </w:tc>
      </w:tr>
      <w:tr w:rsidR="009425E5" w:rsidRPr="003D0109" w14:paraId="0CF097C1" w14:textId="77777777" w:rsidTr="003D0109">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183" w:type="pct"/>
            <w:noWrap/>
            <w:hideMark/>
          </w:tcPr>
          <w:p w14:paraId="35F37BB7" w14:textId="77777777" w:rsidR="009425E5" w:rsidRPr="005A7813" w:rsidRDefault="009425E5" w:rsidP="009425E5">
            <w:pPr>
              <w:keepNext/>
              <w:spacing w:after="0" w:line="240" w:lineRule="auto"/>
              <w:rPr>
                <w:rFonts w:eastAsia="Times New Roman" w:cs="Arial"/>
                <w:b w:val="0"/>
                <w:bCs w:val="0"/>
                <w:sz w:val="20"/>
                <w:szCs w:val="20"/>
                <w:lang w:eastAsia="en-US"/>
              </w:rPr>
            </w:pPr>
            <w:r w:rsidRPr="005A7813">
              <w:rPr>
                <w:rFonts w:eastAsia="Times New Roman" w:cs="Arial"/>
                <w:b w:val="0"/>
                <w:bCs w:val="0"/>
                <w:sz w:val="20"/>
                <w:szCs w:val="20"/>
                <w:lang w:eastAsia="en-US"/>
              </w:rPr>
              <w:t>Non-Participant</w:t>
            </w:r>
          </w:p>
        </w:tc>
        <w:tc>
          <w:tcPr>
            <w:tcW w:w="1316" w:type="pct"/>
            <w:noWrap/>
          </w:tcPr>
          <w:p w14:paraId="58DDDE3E" w14:textId="44611B8A" w:rsidR="009425E5" w:rsidRPr="003D72FF" w:rsidRDefault="009425E5" w:rsidP="009425E5">
            <w:pPr>
              <w:keepNext/>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US"/>
              </w:rPr>
            </w:pPr>
            <w:r>
              <w:rPr>
                <w:rFonts w:cs="Calibri"/>
                <w:sz w:val="20"/>
                <w:szCs w:val="20"/>
              </w:rPr>
              <w:t>-</w:t>
            </w:r>
            <w:r w:rsidRPr="003D72FF">
              <w:rPr>
                <w:rFonts w:cs="Calibri"/>
                <w:sz w:val="20"/>
                <w:szCs w:val="20"/>
              </w:rPr>
              <w:t>0.0</w:t>
            </w:r>
            <w:r>
              <w:rPr>
                <w:rFonts w:cs="Calibri"/>
                <w:sz w:val="20"/>
                <w:szCs w:val="20"/>
              </w:rPr>
              <w:t>5</w:t>
            </w:r>
            <w:r w:rsidRPr="003D72FF">
              <w:rPr>
                <w:rFonts w:cs="Calibri"/>
                <w:sz w:val="20"/>
                <w:szCs w:val="20"/>
              </w:rPr>
              <w:t>%</w:t>
            </w:r>
          </w:p>
        </w:tc>
        <w:tc>
          <w:tcPr>
            <w:tcW w:w="1250" w:type="pct"/>
            <w:noWrap/>
          </w:tcPr>
          <w:p w14:paraId="52A3C44B" w14:textId="4997B77C" w:rsidR="009425E5" w:rsidRPr="003D72FF" w:rsidRDefault="009425E5" w:rsidP="009425E5">
            <w:pPr>
              <w:keepNext/>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US"/>
              </w:rPr>
            </w:pPr>
            <w:r w:rsidRPr="003D72FF">
              <w:rPr>
                <w:rFonts w:cs="Calibri"/>
                <w:sz w:val="20"/>
                <w:szCs w:val="20"/>
              </w:rPr>
              <w:t>0.00%</w:t>
            </w:r>
          </w:p>
        </w:tc>
        <w:tc>
          <w:tcPr>
            <w:tcW w:w="1250" w:type="pct"/>
            <w:noWrap/>
          </w:tcPr>
          <w:p w14:paraId="6FAE4DEE" w14:textId="27C14473" w:rsidR="009425E5" w:rsidRPr="003D72FF" w:rsidRDefault="009425E5" w:rsidP="009425E5">
            <w:pPr>
              <w:keepNext/>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US"/>
              </w:rPr>
            </w:pPr>
            <w:r>
              <w:rPr>
                <w:rFonts w:cs="Calibri"/>
                <w:sz w:val="20"/>
                <w:szCs w:val="20"/>
              </w:rPr>
              <w:t>-</w:t>
            </w:r>
            <w:r w:rsidRPr="003D72FF">
              <w:rPr>
                <w:rFonts w:cs="Calibri"/>
                <w:sz w:val="20"/>
                <w:szCs w:val="20"/>
              </w:rPr>
              <w:t>0.0</w:t>
            </w:r>
            <w:r>
              <w:rPr>
                <w:rFonts w:cs="Calibri"/>
                <w:sz w:val="20"/>
                <w:szCs w:val="20"/>
              </w:rPr>
              <w:t>4</w:t>
            </w:r>
            <w:r w:rsidRPr="003D72FF">
              <w:rPr>
                <w:rFonts w:cs="Calibri"/>
                <w:sz w:val="20"/>
                <w:szCs w:val="20"/>
              </w:rPr>
              <w:t>%</w:t>
            </w:r>
          </w:p>
        </w:tc>
      </w:tr>
      <w:tr w:rsidR="009425E5" w:rsidRPr="003D0109" w14:paraId="005CC345" w14:textId="77777777" w:rsidTr="003D0109">
        <w:trPr>
          <w:trHeight w:val="144"/>
        </w:trPr>
        <w:tc>
          <w:tcPr>
            <w:cnfStyle w:val="001000000000" w:firstRow="0" w:lastRow="0" w:firstColumn="1" w:lastColumn="0" w:oddVBand="0" w:evenVBand="0" w:oddHBand="0" w:evenHBand="0" w:firstRowFirstColumn="0" w:firstRowLastColumn="0" w:lastRowFirstColumn="0" w:lastRowLastColumn="0"/>
            <w:tcW w:w="1183" w:type="pct"/>
            <w:noWrap/>
            <w:hideMark/>
          </w:tcPr>
          <w:p w14:paraId="04FA76FF" w14:textId="77777777" w:rsidR="009425E5" w:rsidRPr="005A7813" w:rsidRDefault="009425E5" w:rsidP="009425E5">
            <w:pPr>
              <w:keepNext/>
              <w:spacing w:after="0" w:line="240" w:lineRule="auto"/>
              <w:rPr>
                <w:rFonts w:eastAsia="Times New Roman" w:cs="Arial"/>
                <w:b w:val="0"/>
                <w:bCs w:val="0"/>
                <w:sz w:val="20"/>
                <w:szCs w:val="20"/>
                <w:lang w:eastAsia="en-US"/>
              </w:rPr>
            </w:pPr>
            <w:r w:rsidRPr="005A7813">
              <w:rPr>
                <w:rFonts w:eastAsia="Times New Roman" w:cs="Arial"/>
                <w:b w:val="0"/>
                <w:bCs w:val="0"/>
                <w:sz w:val="20"/>
                <w:szCs w:val="20"/>
                <w:lang w:eastAsia="en-US"/>
              </w:rPr>
              <w:t>Average Customer</w:t>
            </w:r>
          </w:p>
        </w:tc>
        <w:tc>
          <w:tcPr>
            <w:tcW w:w="1316" w:type="pct"/>
            <w:noWrap/>
          </w:tcPr>
          <w:p w14:paraId="17B3CABD" w14:textId="4563AE34" w:rsidR="009425E5" w:rsidRPr="003D72FF" w:rsidRDefault="009425E5" w:rsidP="009425E5">
            <w:pPr>
              <w:keepNext/>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US"/>
              </w:rPr>
            </w:pPr>
            <w:r>
              <w:rPr>
                <w:rFonts w:cs="Calibri"/>
                <w:sz w:val="20"/>
                <w:szCs w:val="20"/>
              </w:rPr>
              <w:t>-</w:t>
            </w:r>
            <w:r w:rsidRPr="003D72FF">
              <w:rPr>
                <w:rFonts w:cs="Calibri"/>
                <w:sz w:val="20"/>
                <w:szCs w:val="20"/>
              </w:rPr>
              <w:t>0.0</w:t>
            </w:r>
            <w:r>
              <w:rPr>
                <w:rFonts w:cs="Calibri"/>
                <w:sz w:val="20"/>
                <w:szCs w:val="20"/>
              </w:rPr>
              <w:t>5</w:t>
            </w:r>
            <w:r w:rsidRPr="003D72FF">
              <w:rPr>
                <w:rFonts w:cs="Calibri"/>
                <w:sz w:val="20"/>
                <w:szCs w:val="20"/>
              </w:rPr>
              <w:t>%</w:t>
            </w:r>
          </w:p>
        </w:tc>
        <w:tc>
          <w:tcPr>
            <w:tcW w:w="1250" w:type="pct"/>
            <w:noWrap/>
          </w:tcPr>
          <w:p w14:paraId="67756DAE" w14:textId="00F29C42" w:rsidR="009425E5" w:rsidRPr="003D72FF" w:rsidRDefault="009425E5" w:rsidP="009425E5">
            <w:pPr>
              <w:keepNext/>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US"/>
              </w:rPr>
            </w:pPr>
            <w:r w:rsidRPr="003D72FF">
              <w:rPr>
                <w:rFonts w:cs="Calibri"/>
                <w:sz w:val="20"/>
                <w:szCs w:val="20"/>
              </w:rPr>
              <w:t>-0.04%</w:t>
            </w:r>
          </w:p>
        </w:tc>
        <w:tc>
          <w:tcPr>
            <w:tcW w:w="1250" w:type="pct"/>
            <w:noWrap/>
          </w:tcPr>
          <w:p w14:paraId="1EFD8ED2" w14:textId="45ACA986" w:rsidR="009425E5" w:rsidRPr="003D72FF" w:rsidRDefault="009425E5" w:rsidP="009425E5">
            <w:pPr>
              <w:keepNext/>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US"/>
              </w:rPr>
            </w:pPr>
            <w:r w:rsidRPr="003D72FF">
              <w:rPr>
                <w:rFonts w:cs="Calibri"/>
                <w:sz w:val="20"/>
                <w:szCs w:val="20"/>
              </w:rPr>
              <w:t>-0.0</w:t>
            </w:r>
            <w:r>
              <w:rPr>
                <w:rFonts w:cs="Calibri"/>
                <w:sz w:val="20"/>
                <w:szCs w:val="20"/>
              </w:rPr>
              <w:t>8</w:t>
            </w:r>
            <w:r w:rsidRPr="003D72FF">
              <w:rPr>
                <w:rFonts w:cs="Calibri"/>
                <w:sz w:val="20"/>
                <w:szCs w:val="20"/>
              </w:rPr>
              <w:t>%</w:t>
            </w:r>
          </w:p>
        </w:tc>
      </w:tr>
    </w:tbl>
    <w:p w14:paraId="01BBCB4B" w14:textId="77777777" w:rsidR="00F22870" w:rsidRDefault="00F22870" w:rsidP="00F22870">
      <w:pPr>
        <w:autoSpaceDE w:val="0"/>
        <w:autoSpaceDN w:val="0"/>
        <w:adjustRightInd w:val="0"/>
        <w:spacing w:after="0" w:line="240" w:lineRule="auto"/>
        <w:jc w:val="both"/>
        <w:rPr>
          <w:rFonts w:cs="Calibri"/>
          <w:sz w:val="24"/>
          <w:szCs w:val="21"/>
        </w:rPr>
      </w:pPr>
    </w:p>
    <w:p w14:paraId="40223762" w14:textId="77777777" w:rsidR="00DC582D" w:rsidRDefault="00DC582D">
      <w:pPr>
        <w:spacing w:after="0" w:line="240" w:lineRule="auto"/>
        <w:rPr>
          <w:i/>
          <w:iCs/>
          <w:color w:val="1F497D" w:themeColor="text2"/>
          <w:sz w:val="18"/>
          <w:szCs w:val="18"/>
        </w:rPr>
      </w:pPr>
      <w:r>
        <w:br w:type="page"/>
      </w:r>
    </w:p>
    <w:p w14:paraId="1C72A995" w14:textId="3BAEFAF8" w:rsidR="00F22870" w:rsidRPr="00793230" w:rsidRDefault="00F22870" w:rsidP="00F22870">
      <w:pPr>
        <w:pStyle w:val="Caption"/>
        <w:rPr>
          <w:rFonts w:cs="Calibri"/>
          <w:color w:val="4F81BD"/>
          <w:sz w:val="20"/>
          <w:szCs w:val="20"/>
        </w:rPr>
      </w:pPr>
      <w:r w:rsidRPr="00793230">
        <w:rPr>
          <w:rFonts w:cs="Calibri"/>
          <w:color w:val="4F81BD"/>
          <w:sz w:val="20"/>
          <w:szCs w:val="20"/>
        </w:rPr>
        <w:t xml:space="preserve">Table </w:t>
      </w:r>
      <w:r w:rsidRPr="00793230">
        <w:rPr>
          <w:rFonts w:cs="Calibri"/>
          <w:color w:val="4F81BD"/>
          <w:sz w:val="20"/>
          <w:szCs w:val="20"/>
        </w:rPr>
        <w:fldChar w:fldCharType="begin"/>
      </w:r>
      <w:r w:rsidRPr="00793230">
        <w:rPr>
          <w:rFonts w:cs="Calibri"/>
          <w:color w:val="4F81BD"/>
          <w:sz w:val="20"/>
          <w:szCs w:val="20"/>
        </w:rPr>
        <w:instrText>SEQ Table \* ARABIC</w:instrText>
      </w:r>
      <w:r w:rsidRPr="00793230">
        <w:rPr>
          <w:rFonts w:cs="Calibri"/>
          <w:color w:val="4F81BD"/>
          <w:sz w:val="20"/>
          <w:szCs w:val="20"/>
        </w:rPr>
        <w:fldChar w:fldCharType="separate"/>
      </w:r>
      <w:r w:rsidR="00F573DA" w:rsidRPr="00793230">
        <w:rPr>
          <w:rFonts w:cs="Calibri"/>
          <w:color w:val="4F81BD"/>
          <w:sz w:val="20"/>
          <w:szCs w:val="20"/>
        </w:rPr>
        <w:t>9</w:t>
      </w:r>
      <w:r w:rsidRPr="00793230">
        <w:rPr>
          <w:rFonts w:cs="Calibri"/>
          <w:color w:val="4F81BD"/>
          <w:sz w:val="20"/>
          <w:szCs w:val="20"/>
        </w:rPr>
        <w:fldChar w:fldCharType="end"/>
      </w:r>
      <w:r w:rsidRPr="00793230">
        <w:rPr>
          <w:rFonts w:cs="Calibri"/>
          <w:color w:val="4F81BD"/>
          <w:sz w:val="20"/>
          <w:szCs w:val="20"/>
        </w:rPr>
        <w:t>. Small Commercial – Rate and Bill Impact Analysis – C-06 (202</w:t>
      </w:r>
      <w:r w:rsidR="00897533">
        <w:rPr>
          <w:rFonts w:cs="Calibri"/>
          <w:color w:val="4F81BD"/>
          <w:sz w:val="20"/>
          <w:szCs w:val="20"/>
        </w:rPr>
        <w:t>4</w:t>
      </w:r>
      <w:r w:rsidRPr="00793230">
        <w:rPr>
          <w:rFonts w:cs="Calibri"/>
          <w:color w:val="4F81BD"/>
          <w:sz w:val="20"/>
          <w:szCs w:val="20"/>
        </w:rPr>
        <w:t xml:space="preserve"> EE Plan vs. No EE)</w:t>
      </w:r>
      <w:r w:rsidRPr="00793230">
        <w:rPr>
          <w:rFonts w:cs="Calibri"/>
          <w:color w:val="4F81BD"/>
          <w:sz w:val="20"/>
          <w:szCs w:val="20"/>
          <w:vertAlign w:val="superscript"/>
        </w:rPr>
        <w:footnoteReference w:id="9"/>
      </w:r>
    </w:p>
    <w:tbl>
      <w:tblPr>
        <w:tblStyle w:val="ListTable3-Accent1"/>
        <w:tblW w:w="5000" w:type="pct"/>
        <w:tblLook w:val="04A0" w:firstRow="1" w:lastRow="0" w:firstColumn="1" w:lastColumn="0" w:noHBand="0" w:noVBand="1"/>
      </w:tblPr>
      <w:tblGrid>
        <w:gridCol w:w="2205"/>
        <w:gridCol w:w="2470"/>
        <w:gridCol w:w="2293"/>
        <w:gridCol w:w="2382"/>
      </w:tblGrid>
      <w:tr w:rsidR="0069348F" w:rsidRPr="003D0109" w14:paraId="42CDA744" w14:textId="77777777" w:rsidTr="003D0109">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179" w:type="pct"/>
            <w:vMerge w:val="restart"/>
            <w:noWrap/>
            <w:hideMark/>
          </w:tcPr>
          <w:p w14:paraId="75E076DB" w14:textId="77777777" w:rsidR="00F22870" w:rsidRPr="003D0109" w:rsidRDefault="00F22870" w:rsidP="00477C28">
            <w:pPr>
              <w:keepNext/>
              <w:spacing w:after="0" w:line="240" w:lineRule="auto"/>
              <w:rPr>
                <w:rFonts w:eastAsia="Times New Roman" w:cs="Arial"/>
                <w:b w:val="0"/>
                <w:sz w:val="20"/>
                <w:szCs w:val="20"/>
                <w:lang w:eastAsia="en-US"/>
              </w:rPr>
            </w:pPr>
            <w:r w:rsidRPr="003D0109">
              <w:rPr>
                <w:rFonts w:eastAsia="Times New Roman" w:cs="Arial"/>
                <w:sz w:val="20"/>
                <w:szCs w:val="20"/>
                <w:lang w:eastAsia="en-US"/>
              </w:rPr>
              <w:t>Small Commercial</w:t>
            </w:r>
          </w:p>
          <w:p w14:paraId="3F3CA349" w14:textId="77777777" w:rsidR="00F22870" w:rsidRPr="003D0109" w:rsidRDefault="00F22870" w:rsidP="00477C28">
            <w:pPr>
              <w:keepNext/>
              <w:spacing w:after="0" w:line="240" w:lineRule="auto"/>
              <w:rPr>
                <w:rFonts w:eastAsia="Times New Roman" w:cs="Arial"/>
                <w:b w:val="0"/>
                <w:sz w:val="20"/>
                <w:szCs w:val="20"/>
                <w:lang w:eastAsia="en-US"/>
              </w:rPr>
            </w:pPr>
            <w:r w:rsidRPr="003D0109">
              <w:rPr>
                <w:rFonts w:eastAsia="Times New Roman" w:cs="Arial"/>
                <w:sz w:val="20"/>
                <w:szCs w:val="20"/>
                <w:lang w:eastAsia="en-US"/>
              </w:rPr>
              <w:t> </w:t>
            </w:r>
          </w:p>
        </w:tc>
        <w:tc>
          <w:tcPr>
            <w:tcW w:w="1321" w:type="pct"/>
            <w:hideMark/>
          </w:tcPr>
          <w:p w14:paraId="14510329" w14:textId="77777777" w:rsidR="00F22870" w:rsidRPr="003D0109" w:rsidRDefault="00F22870" w:rsidP="00477C28">
            <w:pPr>
              <w:keepNext/>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n-US"/>
              </w:rPr>
            </w:pPr>
            <w:r w:rsidRPr="003D0109">
              <w:rPr>
                <w:rFonts w:eastAsia="Times New Roman" w:cs="Arial"/>
                <w:sz w:val="20"/>
                <w:szCs w:val="20"/>
                <w:lang w:eastAsia="en-US"/>
              </w:rPr>
              <w:t>Long-Term Rate Impacts</w:t>
            </w:r>
          </w:p>
        </w:tc>
        <w:tc>
          <w:tcPr>
            <w:tcW w:w="1226" w:type="pct"/>
            <w:hideMark/>
          </w:tcPr>
          <w:p w14:paraId="02F2F4FE" w14:textId="77777777" w:rsidR="00F22870" w:rsidRPr="003D0109" w:rsidRDefault="00F22870" w:rsidP="00477C28">
            <w:pPr>
              <w:keepNext/>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n-US"/>
              </w:rPr>
            </w:pPr>
            <w:r w:rsidRPr="003D0109">
              <w:rPr>
                <w:rFonts w:eastAsia="Times New Roman" w:cs="Arial"/>
                <w:sz w:val="20"/>
                <w:szCs w:val="20"/>
                <w:lang w:eastAsia="en-US"/>
              </w:rPr>
              <w:t>Typical Energy Savings</w:t>
            </w:r>
          </w:p>
        </w:tc>
        <w:tc>
          <w:tcPr>
            <w:tcW w:w="1274" w:type="pct"/>
            <w:hideMark/>
          </w:tcPr>
          <w:p w14:paraId="3DAD777C" w14:textId="77777777" w:rsidR="00F22870" w:rsidRPr="003D0109" w:rsidRDefault="00F22870" w:rsidP="00477C28">
            <w:pPr>
              <w:keepNext/>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n-US"/>
              </w:rPr>
            </w:pPr>
            <w:r w:rsidRPr="003D0109">
              <w:rPr>
                <w:rFonts w:eastAsia="Times New Roman" w:cs="Arial"/>
                <w:sz w:val="20"/>
                <w:szCs w:val="20"/>
                <w:lang w:eastAsia="en-US"/>
              </w:rPr>
              <w:t>Typical Bill Savings</w:t>
            </w:r>
          </w:p>
        </w:tc>
      </w:tr>
      <w:tr w:rsidR="00F22870" w:rsidRPr="003D0109" w14:paraId="66B610B6" w14:textId="77777777" w:rsidTr="0072004C">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179" w:type="pct"/>
            <w:vMerge/>
            <w:noWrap/>
            <w:hideMark/>
          </w:tcPr>
          <w:p w14:paraId="6696B6AA" w14:textId="77777777" w:rsidR="00F22870" w:rsidRPr="003D0109" w:rsidRDefault="00F22870" w:rsidP="00477C28">
            <w:pPr>
              <w:keepNext/>
              <w:spacing w:after="0" w:line="240" w:lineRule="auto"/>
              <w:rPr>
                <w:rFonts w:eastAsia="Times New Roman" w:cs="Arial"/>
                <w:b w:val="0"/>
                <w:sz w:val="20"/>
                <w:szCs w:val="20"/>
                <w:lang w:eastAsia="en-US"/>
              </w:rPr>
            </w:pPr>
          </w:p>
        </w:tc>
        <w:tc>
          <w:tcPr>
            <w:tcW w:w="1321" w:type="pct"/>
            <w:shd w:val="clear" w:color="auto" w:fill="4F81BD" w:themeFill="accent1"/>
            <w:noWrap/>
            <w:hideMark/>
          </w:tcPr>
          <w:p w14:paraId="3EEA853A" w14:textId="77777777" w:rsidR="00F22870" w:rsidRPr="003D0109" w:rsidRDefault="00F22870" w:rsidP="00477C28">
            <w:pPr>
              <w:keepNext/>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FFFFFF" w:themeColor="background1"/>
                <w:sz w:val="20"/>
                <w:szCs w:val="20"/>
                <w:lang w:eastAsia="en-US"/>
              </w:rPr>
            </w:pPr>
            <w:r w:rsidRPr="003D0109">
              <w:rPr>
                <w:rFonts w:eastAsia="Times New Roman" w:cs="Arial"/>
                <w:b/>
                <w:color w:val="FFFFFF" w:themeColor="background1"/>
                <w:sz w:val="20"/>
                <w:szCs w:val="20"/>
                <w:lang w:eastAsia="en-US"/>
              </w:rPr>
              <w:t>(% of Total Rate)</w:t>
            </w:r>
          </w:p>
        </w:tc>
        <w:tc>
          <w:tcPr>
            <w:tcW w:w="1226" w:type="pct"/>
            <w:shd w:val="clear" w:color="auto" w:fill="4F81BD" w:themeFill="accent1"/>
            <w:noWrap/>
            <w:hideMark/>
          </w:tcPr>
          <w:p w14:paraId="4605EA5F" w14:textId="77777777" w:rsidR="00F22870" w:rsidRPr="003D0109" w:rsidRDefault="00F22870" w:rsidP="00477C28">
            <w:pPr>
              <w:keepNext/>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FFFFFF" w:themeColor="background1"/>
                <w:sz w:val="20"/>
                <w:szCs w:val="20"/>
                <w:lang w:eastAsia="en-US"/>
              </w:rPr>
            </w:pPr>
            <w:r w:rsidRPr="003D0109">
              <w:rPr>
                <w:rFonts w:eastAsia="Times New Roman" w:cs="Arial"/>
                <w:b/>
                <w:color w:val="FFFFFF" w:themeColor="background1"/>
                <w:sz w:val="20"/>
                <w:szCs w:val="20"/>
                <w:lang w:eastAsia="en-US"/>
              </w:rPr>
              <w:t>(% per Participant)</w:t>
            </w:r>
          </w:p>
        </w:tc>
        <w:tc>
          <w:tcPr>
            <w:tcW w:w="1274" w:type="pct"/>
            <w:shd w:val="clear" w:color="auto" w:fill="4F81BD" w:themeFill="accent1"/>
            <w:noWrap/>
            <w:hideMark/>
          </w:tcPr>
          <w:p w14:paraId="6BFD125B" w14:textId="77777777" w:rsidR="00F22870" w:rsidRPr="003D0109" w:rsidRDefault="00F22870" w:rsidP="00477C28">
            <w:pPr>
              <w:keepNext/>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FFFFFF" w:themeColor="background1"/>
                <w:sz w:val="20"/>
                <w:szCs w:val="20"/>
                <w:lang w:eastAsia="en-US"/>
              </w:rPr>
            </w:pPr>
            <w:r w:rsidRPr="003D0109">
              <w:rPr>
                <w:rFonts w:eastAsia="Times New Roman" w:cs="Arial"/>
                <w:b/>
                <w:color w:val="FFFFFF" w:themeColor="background1"/>
                <w:sz w:val="20"/>
                <w:szCs w:val="20"/>
                <w:lang w:eastAsia="en-US"/>
              </w:rPr>
              <w:t>(% of Total Bill)</w:t>
            </w:r>
          </w:p>
        </w:tc>
      </w:tr>
      <w:tr w:rsidR="0077334C" w:rsidRPr="003D0109" w14:paraId="2D6ADF12" w14:textId="77777777" w:rsidTr="001B3657">
        <w:trPr>
          <w:trHeight w:val="20"/>
        </w:trPr>
        <w:tc>
          <w:tcPr>
            <w:cnfStyle w:val="001000000000" w:firstRow="0" w:lastRow="0" w:firstColumn="1" w:lastColumn="0" w:oddVBand="0" w:evenVBand="0" w:oddHBand="0" w:evenHBand="0" w:firstRowFirstColumn="0" w:firstRowLastColumn="0" w:lastRowFirstColumn="0" w:lastRowLastColumn="0"/>
            <w:tcW w:w="1179" w:type="pct"/>
            <w:noWrap/>
            <w:hideMark/>
          </w:tcPr>
          <w:p w14:paraId="71AC066F" w14:textId="77777777" w:rsidR="0077334C" w:rsidRPr="003D7286" w:rsidRDefault="0077334C" w:rsidP="0077334C">
            <w:pPr>
              <w:keepNext/>
              <w:spacing w:after="0" w:line="240" w:lineRule="auto"/>
              <w:rPr>
                <w:rFonts w:eastAsia="Times New Roman" w:cs="Arial"/>
                <w:b w:val="0"/>
                <w:bCs w:val="0"/>
                <w:sz w:val="20"/>
                <w:szCs w:val="20"/>
                <w:lang w:eastAsia="en-US"/>
              </w:rPr>
            </w:pPr>
            <w:r w:rsidRPr="003D7286">
              <w:rPr>
                <w:rFonts w:eastAsia="Times New Roman" w:cs="Arial"/>
                <w:b w:val="0"/>
                <w:bCs w:val="0"/>
                <w:sz w:val="20"/>
                <w:szCs w:val="20"/>
                <w:lang w:eastAsia="en-US"/>
              </w:rPr>
              <w:t>Average Participant</w:t>
            </w:r>
          </w:p>
        </w:tc>
        <w:tc>
          <w:tcPr>
            <w:tcW w:w="1321" w:type="pct"/>
            <w:noWrap/>
            <w:vAlign w:val="bottom"/>
          </w:tcPr>
          <w:p w14:paraId="6F7FB4E0" w14:textId="1CE172BE" w:rsidR="0077334C" w:rsidRPr="0008162E" w:rsidRDefault="0077334C" w:rsidP="0077334C">
            <w:pPr>
              <w:keepNext/>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US"/>
              </w:rPr>
            </w:pPr>
            <w:r w:rsidRPr="00F767FE">
              <w:rPr>
                <w:rFonts w:cs="Calibri"/>
              </w:rPr>
              <w:t>0.</w:t>
            </w:r>
            <w:r w:rsidR="009C7BFE">
              <w:rPr>
                <w:rFonts w:cs="Calibri"/>
              </w:rPr>
              <w:t>06</w:t>
            </w:r>
            <w:r w:rsidRPr="00F767FE">
              <w:rPr>
                <w:rFonts w:cs="Calibri"/>
              </w:rPr>
              <w:t>%</w:t>
            </w:r>
          </w:p>
        </w:tc>
        <w:tc>
          <w:tcPr>
            <w:tcW w:w="1226" w:type="pct"/>
            <w:noWrap/>
            <w:vAlign w:val="bottom"/>
          </w:tcPr>
          <w:p w14:paraId="114AEC97" w14:textId="49A778E5" w:rsidR="0077334C" w:rsidRPr="0008162E" w:rsidRDefault="0077334C" w:rsidP="0077334C">
            <w:pPr>
              <w:keepNext/>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US"/>
              </w:rPr>
            </w:pPr>
            <w:r w:rsidRPr="00F767FE">
              <w:rPr>
                <w:rFonts w:cs="Calibri"/>
              </w:rPr>
              <w:t>-</w:t>
            </w:r>
            <w:r w:rsidR="00471014">
              <w:rPr>
                <w:rFonts w:cs="Calibri"/>
              </w:rPr>
              <w:t>22</w:t>
            </w:r>
            <w:r w:rsidRPr="00F767FE">
              <w:rPr>
                <w:rFonts w:cs="Calibri"/>
              </w:rPr>
              <w:t>.</w:t>
            </w:r>
            <w:r w:rsidR="00471014">
              <w:rPr>
                <w:rFonts w:cs="Calibri"/>
              </w:rPr>
              <w:t>65</w:t>
            </w:r>
            <w:r w:rsidRPr="00F767FE">
              <w:rPr>
                <w:rFonts w:cs="Calibri"/>
              </w:rPr>
              <w:t>%</w:t>
            </w:r>
          </w:p>
        </w:tc>
        <w:tc>
          <w:tcPr>
            <w:tcW w:w="1274" w:type="pct"/>
            <w:noWrap/>
            <w:vAlign w:val="bottom"/>
          </w:tcPr>
          <w:p w14:paraId="02631009" w14:textId="38FFAA19" w:rsidR="0077334C" w:rsidRPr="0008162E" w:rsidRDefault="0077334C" w:rsidP="0077334C">
            <w:pPr>
              <w:keepNext/>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US"/>
              </w:rPr>
            </w:pPr>
            <w:r w:rsidRPr="00F767FE">
              <w:rPr>
                <w:rFonts w:cs="Calibri"/>
              </w:rPr>
              <w:t>-2</w:t>
            </w:r>
            <w:r w:rsidR="00471014">
              <w:rPr>
                <w:rFonts w:cs="Calibri"/>
              </w:rPr>
              <w:t>3</w:t>
            </w:r>
            <w:r w:rsidRPr="00F767FE">
              <w:rPr>
                <w:rFonts w:cs="Calibri"/>
              </w:rPr>
              <w:t>.2</w:t>
            </w:r>
            <w:r w:rsidR="00471014">
              <w:rPr>
                <w:rFonts w:cs="Calibri"/>
              </w:rPr>
              <w:t>2</w:t>
            </w:r>
            <w:r w:rsidRPr="00F767FE">
              <w:rPr>
                <w:rFonts w:cs="Calibri"/>
              </w:rPr>
              <w:t>%</w:t>
            </w:r>
          </w:p>
        </w:tc>
      </w:tr>
      <w:tr w:rsidR="009C7BFE" w:rsidRPr="003D0109" w14:paraId="13654812" w14:textId="77777777" w:rsidTr="001B36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79" w:type="pct"/>
            <w:noWrap/>
            <w:hideMark/>
          </w:tcPr>
          <w:p w14:paraId="77FC790C" w14:textId="77777777" w:rsidR="009C7BFE" w:rsidRPr="003D7286" w:rsidRDefault="009C7BFE" w:rsidP="009C7BFE">
            <w:pPr>
              <w:keepNext/>
              <w:spacing w:after="0" w:line="240" w:lineRule="auto"/>
              <w:rPr>
                <w:rFonts w:eastAsia="Times New Roman" w:cs="Arial"/>
                <w:b w:val="0"/>
                <w:bCs w:val="0"/>
                <w:sz w:val="20"/>
                <w:szCs w:val="20"/>
                <w:lang w:eastAsia="en-US"/>
              </w:rPr>
            </w:pPr>
            <w:r w:rsidRPr="003D7286">
              <w:rPr>
                <w:rFonts w:eastAsia="Times New Roman" w:cs="Arial"/>
                <w:b w:val="0"/>
                <w:bCs w:val="0"/>
                <w:sz w:val="20"/>
                <w:szCs w:val="20"/>
                <w:lang w:eastAsia="en-US"/>
              </w:rPr>
              <w:t>Non-Participant</w:t>
            </w:r>
          </w:p>
        </w:tc>
        <w:tc>
          <w:tcPr>
            <w:tcW w:w="1321" w:type="pct"/>
            <w:noWrap/>
            <w:vAlign w:val="bottom"/>
          </w:tcPr>
          <w:p w14:paraId="2BBCCB74" w14:textId="0FD12379" w:rsidR="009C7BFE" w:rsidRPr="0008162E" w:rsidRDefault="009C7BFE" w:rsidP="009C7BFE">
            <w:pPr>
              <w:keepNext/>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US"/>
              </w:rPr>
            </w:pPr>
            <w:r w:rsidRPr="00F767FE">
              <w:rPr>
                <w:rFonts w:cs="Calibri"/>
              </w:rPr>
              <w:t>0.</w:t>
            </w:r>
            <w:r>
              <w:rPr>
                <w:rFonts w:cs="Calibri"/>
              </w:rPr>
              <w:t>06</w:t>
            </w:r>
            <w:r w:rsidRPr="00F767FE">
              <w:rPr>
                <w:rFonts w:cs="Calibri"/>
              </w:rPr>
              <w:t>%</w:t>
            </w:r>
          </w:p>
        </w:tc>
        <w:tc>
          <w:tcPr>
            <w:tcW w:w="1226" w:type="pct"/>
            <w:noWrap/>
            <w:vAlign w:val="bottom"/>
          </w:tcPr>
          <w:p w14:paraId="04D5F1FE" w14:textId="4E47A162" w:rsidR="009C7BFE" w:rsidRPr="0008162E" w:rsidRDefault="009C7BFE" w:rsidP="009C7BFE">
            <w:pPr>
              <w:keepNext/>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US"/>
              </w:rPr>
            </w:pPr>
            <w:r w:rsidRPr="00F767FE">
              <w:rPr>
                <w:rFonts w:cs="Calibri"/>
              </w:rPr>
              <w:t>0.00%</w:t>
            </w:r>
          </w:p>
        </w:tc>
        <w:tc>
          <w:tcPr>
            <w:tcW w:w="1274" w:type="pct"/>
            <w:noWrap/>
            <w:vAlign w:val="bottom"/>
          </w:tcPr>
          <w:p w14:paraId="1EB15060" w14:textId="79DDD636" w:rsidR="009C7BFE" w:rsidRPr="0008162E" w:rsidRDefault="009C7BFE" w:rsidP="009C7BFE">
            <w:pPr>
              <w:keepNext/>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US"/>
              </w:rPr>
            </w:pPr>
            <w:r w:rsidRPr="00F767FE">
              <w:rPr>
                <w:rFonts w:cs="Calibri"/>
              </w:rPr>
              <w:t>0.</w:t>
            </w:r>
            <w:r w:rsidR="00471014">
              <w:rPr>
                <w:rFonts w:cs="Calibri"/>
              </w:rPr>
              <w:t>05</w:t>
            </w:r>
            <w:r w:rsidRPr="00F767FE">
              <w:rPr>
                <w:rFonts w:cs="Calibri"/>
              </w:rPr>
              <w:t>%</w:t>
            </w:r>
          </w:p>
        </w:tc>
      </w:tr>
      <w:tr w:rsidR="009C7BFE" w:rsidRPr="003D0109" w14:paraId="491DE9F7" w14:textId="77777777" w:rsidTr="001B3657">
        <w:trPr>
          <w:trHeight w:val="20"/>
        </w:trPr>
        <w:tc>
          <w:tcPr>
            <w:cnfStyle w:val="001000000000" w:firstRow="0" w:lastRow="0" w:firstColumn="1" w:lastColumn="0" w:oddVBand="0" w:evenVBand="0" w:oddHBand="0" w:evenHBand="0" w:firstRowFirstColumn="0" w:firstRowLastColumn="0" w:lastRowFirstColumn="0" w:lastRowLastColumn="0"/>
            <w:tcW w:w="1179" w:type="pct"/>
            <w:noWrap/>
            <w:hideMark/>
          </w:tcPr>
          <w:p w14:paraId="2F8AA22C" w14:textId="77777777" w:rsidR="009C7BFE" w:rsidRPr="003D7286" w:rsidRDefault="009C7BFE" w:rsidP="009C7BFE">
            <w:pPr>
              <w:keepNext/>
              <w:spacing w:after="0" w:line="240" w:lineRule="auto"/>
              <w:rPr>
                <w:rFonts w:eastAsia="Times New Roman" w:cs="Arial"/>
                <w:b w:val="0"/>
                <w:bCs w:val="0"/>
                <w:sz w:val="20"/>
                <w:szCs w:val="20"/>
                <w:lang w:eastAsia="en-US"/>
              </w:rPr>
            </w:pPr>
            <w:r w:rsidRPr="003D7286">
              <w:rPr>
                <w:rFonts w:eastAsia="Times New Roman" w:cs="Arial"/>
                <w:b w:val="0"/>
                <w:bCs w:val="0"/>
                <w:sz w:val="20"/>
                <w:szCs w:val="20"/>
                <w:lang w:eastAsia="en-US"/>
              </w:rPr>
              <w:t>Average Customer</w:t>
            </w:r>
          </w:p>
        </w:tc>
        <w:tc>
          <w:tcPr>
            <w:tcW w:w="1321" w:type="pct"/>
            <w:noWrap/>
            <w:vAlign w:val="bottom"/>
          </w:tcPr>
          <w:p w14:paraId="747C3E55" w14:textId="5B7ECF92" w:rsidR="009C7BFE" w:rsidRPr="0008162E" w:rsidRDefault="009C7BFE" w:rsidP="009C7BFE">
            <w:pPr>
              <w:keepNext/>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US"/>
              </w:rPr>
            </w:pPr>
            <w:r w:rsidRPr="00F767FE">
              <w:rPr>
                <w:rFonts w:cs="Calibri"/>
              </w:rPr>
              <w:t>0.</w:t>
            </w:r>
            <w:r>
              <w:rPr>
                <w:rFonts w:cs="Calibri"/>
              </w:rPr>
              <w:t>06</w:t>
            </w:r>
            <w:r w:rsidRPr="00F767FE">
              <w:rPr>
                <w:rFonts w:cs="Calibri"/>
              </w:rPr>
              <w:t>%</w:t>
            </w:r>
          </w:p>
        </w:tc>
        <w:tc>
          <w:tcPr>
            <w:tcW w:w="1226" w:type="pct"/>
            <w:noWrap/>
            <w:vAlign w:val="bottom"/>
          </w:tcPr>
          <w:p w14:paraId="5D70469A" w14:textId="2045F929" w:rsidR="009C7BFE" w:rsidRPr="0008162E" w:rsidRDefault="009C7BFE" w:rsidP="009C7BFE">
            <w:pPr>
              <w:keepNext/>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US"/>
              </w:rPr>
            </w:pPr>
            <w:r w:rsidRPr="00F767FE">
              <w:rPr>
                <w:rFonts w:cs="Calibri"/>
              </w:rPr>
              <w:t>-0.5</w:t>
            </w:r>
            <w:r w:rsidR="00471014">
              <w:rPr>
                <w:rFonts w:cs="Calibri"/>
              </w:rPr>
              <w:t>3</w:t>
            </w:r>
            <w:r w:rsidRPr="00F767FE">
              <w:rPr>
                <w:rFonts w:cs="Calibri"/>
              </w:rPr>
              <w:t>%</w:t>
            </w:r>
          </w:p>
        </w:tc>
        <w:tc>
          <w:tcPr>
            <w:tcW w:w="1274" w:type="pct"/>
            <w:noWrap/>
            <w:vAlign w:val="bottom"/>
          </w:tcPr>
          <w:p w14:paraId="37516860" w14:textId="39367E1B" w:rsidR="009C7BFE" w:rsidRPr="0008162E" w:rsidRDefault="009C7BFE" w:rsidP="009C7BFE">
            <w:pPr>
              <w:keepNext/>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US"/>
              </w:rPr>
            </w:pPr>
            <w:r w:rsidRPr="00F767FE">
              <w:rPr>
                <w:rFonts w:cs="Calibri"/>
              </w:rPr>
              <w:t>-0.</w:t>
            </w:r>
            <w:r w:rsidR="00471014">
              <w:rPr>
                <w:rFonts w:cs="Calibri"/>
              </w:rPr>
              <w:t>50</w:t>
            </w:r>
            <w:r w:rsidRPr="00F767FE">
              <w:rPr>
                <w:rFonts w:cs="Calibri"/>
              </w:rPr>
              <w:t>%</w:t>
            </w:r>
          </w:p>
        </w:tc>
      </w:tr>
    </w:tbl>
    <w:p w14:paraId="1BA58053" w14:textId="77777777" w:rsidR="00F22870" w:rsidRDefault="00F22870" w:rsidP="00F22870">
      <w:pPr>
        <w:autoSpaceDE w:val="0"/>
        <w:autoSpaceDN w:val="0"/>
        <w:adjustRightInd w:val="0"/>
        <w:spacing w:after="0" w:line="240" w:lineRule="auto"/>
        <w:jc w:val="both"/>
      </w:pPr>
    </w:p>
    <w:p w14:paraId="3738B097" w14:textId="53C4BC60" w:rsidR="00F22870" w:rsidRPr="00793230" w:rsidRDefault="00F22870" w:rsidP="00560983">
      <w:pPr>
        <w:pStyle w:val="Caption"/>
        <w:keepNext/>
        <w:rPr>
          <w:rFonts w:cs="Calibri"/>
          <w:color w:val="4F81BD"/>
          <w:sz w:val="20"/>
          <w:szCs w:val="20"/>
        </w:rPr>
      </w:pPr>
      <w:r w:rsidRPr="00793230">
        <w:rPr>
          <w:rFonts w:cs="Calibri"/>
          <w:color w:val="4F81BD"/>
          <w:sz w:val="20"/>
          <w:szCs w:val="20"/>
        </w:rPr>
        <w:t xml:space="preserve">Table </w:t>
      </w:r>
      <w:r w:rsidRPr="00793230">
        <w:rPr>
          <w:rFonts w:cs="Calibri"/>
          <w:color w:val="4F81BD"/>
          <w:sz w:val="20"/>
          <w:szCs w:val="20"/>
        </w:rPr>
        <w:fldChar w:fldCharType="begin"/>
      </w:r>
      <w:r w:rsidRPr="00793230">
        <w:rPr>
          <w:rFonts w:cs="Calibri"/>
          <w:color w:val="4F81BD"/>
          <w:sz w:val="20"/>
          <w:szCs w:val="20"/>
        </w:rPr>
        <w:instrText>SEQ Table \* ARABIC</w:instrText>
      </w:r>
      <w:r w:rsidRPr="00793230">
        <w:rPr>
          <w:rFonts w:cs="Calibri"/>
          <w:color w:val="4F81BD"/>
          <w:sz w:val="20"/>
          <w:szCs w:val="20"/>
        </w:rPr>
        <w:fldChar w:fldCharType="separate"/>
      </w:r>
      <w:r w:rsidR="00F573DA" w:rsidRPr="00793230">
        <w:rPr>
          <w:rFonts w:cs="Calibri"/>
          <w:color w:val="4F81BD"/>
          <w:sz w:val="20"/>
          <w:szCs w:val="20"/>
        </w:rPr>
        <w:t>10</w:t>
      </w:r>
      <w:r w:rsidRPr="00793230">
        <w:rPr>
          <w:rFonts w:cs="Calibri"/>
          <w:color w:val="4F81BD"/>
          <w:sz w:val="20"/>
          <w:szCs w:val="20"/>
        </w:rPr>
        <w:fldChar w:fldCharType="end"/>
      </w:r>
      <w:r w:rsidRPr="00793230">
        <w:rPr>
          <w:rFonts w:cs="Calibri"/>
          <w:color w:val="4F81BD"/>
          <w:sz w:val="20"/>
          <w:szCs w:val="20"/>
        </w:rPr>
        <w:t>. Medium Commercial – Rate and Bill Impact Analysis – G-02 (202</w:t>
      </w:r>
      <w:r w:rsidR="00897533">
        <w:rPr>
          <w:rFonts w:cs="Calibri"/>
          <w:color w:val="4F81BD"/>
          <w:sz w:val="20"/>
          <w:szCs w:val="20"/>
        </w:rPr>
        <w:t>4</w:t>
      </w:r>
      <w:r w:rsidRPr="00793230">
        <w:rPr>
          <w:rFonts w:cs="Calibri"/>
          <w:color w:val="4F81BD"/>
          <w:sz w:val="20"/>
          <w:szCs w:val="20"/>
        </w:rPr>
        <w:t xml:space="preserve"> EE Plan vs. No EE)</w:t>
      </w:r>
    </w:p>
    <w:tbl>
      <w:tblPr>
        <w:tblStyle w:val="ListTable3-Accent1"/>
        <w:tblW w:w="5000" w:type="pct"/>
        <w:tblLook w:val="04A0" w:firstRow="1" w:lastRow="0" w:firstColumn="1" w:lastColumn="0" w:noHBand="0" w:noVBand="1"/>
      </w:tblPr>
      <w:tblGrid>
        <w:gridCol w:w="2212"/>
        <w:gridCol w:w="2463"/>
        <w:gridCol w:w="2296"/>
        <w:gridCol w:w="2379"/>
      </w:tblGrid>
      <w:tr w:rsidR="0069348F" w:rsidRPr="003D0109" w14:paraId="10F8ADB1" w14:textId="77777777" w:rsidTr="003D0109">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183" w:type="pct"/>
            <w:vMerge w:val="restart"/>
            <w:noWrap/>
            <w:hideMark/>
          </w:tcPr>
          <w:p w14:paraId="14DB72CA" w14:textId="77777777" w:rsidR="00F22870" w:rsidRPr="003D0109" w:rsidRDefault="00F22870" w:rsidP="00477C28">
            <w:pPr>
              <w:keepNext/>
              <w:spacing w:after="0" w:line="240" w:lineRule="auto"/>
              <w:rPr>
                <w:rFonts w:eastAsia="Times New Roman" w:cs="Arial"/>
                <w:b w:val="0"/>
                <w:sz w:val="20"/>
                <w:szCs w:val="20"/>
                <w:lang w:eastAsia="en-US"/>
              </w:rPr>
            </w:pPr>
            <w:r w:rsidRPr="003D0109">
              <w:rPr>
                <w:rFonts w:eastAsia="Times New Roman" w:cs="Arial"/>
                <w:sz w:val="20"/>
                <w:szCs w:val="20"/>
                <w:lang w:eastAsia="en-US"/>
              </w:rPr>
              <w:t> Medium Commercial</w:t>
            </w:r>
          </w:p>
          <w:p w14:paraId="41CF725E" w14:textId="77777777" w:rsidR="00F22870" w:rsidRPr="003D0109" w:rsidRDefault="00F22870" w:rsidP="00477C28">
            <w:pPr>
              <w:keepNext/>
              <w:spacing w:after="0" w:line="240" w:lineRule="auto"/>
              <w:rPr>
                <w:rFonts w:eastAsia="Times New Roman" w:cs="Arial"/>
                <w:b w:val="0"/>
                <w:sz w:val="20"/>
                <w:szCs w:val="20"/>
                <w:lang w:eastAsia="en-US"/>
              </w:rPr>
            </w:pPr>
            <w:r w:rsidRPr="003D0109">
              <w:rPr>
                <w:rFonts w:eastAsia="Times New Roman" w:cs="Arial"/>
                <w:sz w:val="20"/>
                <w:szCs w:val="20"/>
                <w:lang w:eastAsia="en-US"/>
              </w:rPr>
              <w:t> </w:t>
            </w:r>
          </w:p>
        </w:tc>
        <w:tc>
          <w:tcPr>
            <w:tcW w:w="1317" w:type="pct"/>
            <w:hideMark/>
          </w:tcPr>
          <w:p w14:paraId="4E6368D3" w14:textId="77777777" w:rsidR="00F22870" w:rsidRPr="003D0109" w:rsidRDefault="00F22870" w:rsidP="00477C28">
            <w:pPr>
              <w:keepNext/>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n-US"/>
              </w:rPr>
            </w:pPr>
            <w:r w:rsidRPr="003D0109">
              <w:rPr>
                <w:rFonts w:eastAsia="Times New Roman" w:cs="Arial"/>
                <w:sz w:val="20"/>
                <w:szCs w:val="20"/>
                <w:lang w:eastAsia="en-US"/>
              </w:rPr>
              <w:t>Long-Term Rate Impacts</w:t>
            </w:r>
          </w:p>
        </w:tc>
        <w:tc>
          <w:tcPr>
            <w:tcW w:w="1228" w:type="pct"/>
            <w:hideMark/>
          </w:tcPr>
          <w:p w14:paraId="56B936F9" w14:textId="77777777" w:rsidR="00F22870" w:rsidRPr="003D0109" w:rsidRDefault="00F22870" w:rsidP="00477C28">
            <w:pPr>
              <w:keepNext/>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n-US"/>
              </w:rPr>
            </w:pPr>
            <w:r w:rsidRPr="003D0109">
              <w:rPr>
                <w:rFonts w:eastAsia="Times New Roman" w:cs="Arial"/>
                <w:sz w:val="20"/>
                <w:szCs w:val="20"/>
                <w:lang w:eastAsia="en-US"/>
              </w:rPr>
              <w:t>Typical Energy Savings</w:t>
            </w:r>
          </w:p>
        </w:tc>
        <w:tc>
          <w:tcPr>
            <w:tcW w:w="1272" w:type="pct"/>
            <w:hideMark/>
          </w:tcPr>
          <w:p w14:paraId="1A7EE3DF" w14:textId="77777777" w:rsidR="00F22870" w:rsidRPr="003D0109" w:rsidRDefault="00F22870" w:rsidP="00477C28">
            <w:pPr>
              <w:keepNext/>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n-US"/>
              </w:rPr>
            </w:pPr>
            <w:r w:rsidRPr="003D0109">
              <w:rPr>
                <w:rFonts w:eastAsia="Times New Roman" w:cs="Arial"/>
                <w:sz w:val="20"/>
                <w:szCs w:val="20"/>
                <w:lang w:eastAsia="en-US"/>
              </w:rPr>
              <w:t>Typical Bill Savings</w:t>
            </w:r>
          </w:p>
        </w:tc>
      </w:tr>
      <w:tr w:rsidR="00F22870" w:rsidRPr="003D0109" w14:paraId="52429082" w14:textId="77777777" w:rsidTr="0072004C">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183" w:type="pct"/>
            <w:vMerge/>
            <w:noWrap/>
            <w:hideMark/>
          </w:tcPr>
          <w:p w14:paraId="2F2C2450" w14:textId="77777777" w:rsidR="00F22870" w:rsidRPr="003D0109" w:rsidRDefault="00F22870" w:rsidP="00477C28">
            <w:pPr>
              <w:keepNext/>
              <w:spacing w:after="0" w:line="240" w:lineRule="auto"/>
              <w:rPr>
                <w:rFonts w:eastAsia="Times New Roman" w:cs="Arial"/>
                <w:b w:val="0"/>
                <w:sz w:val="20"/>
                <w:szCs w:val="20"/>
                <w:lang w:eastAsia="en-US"/>
              </w:rPr>
            </w:pPr>
          </w:p>
        </w:tc>
        <w:tc>
          <w:tcPr>
            <w:tcW w:w="1317" w:type="pct"/>
            <w:shd w:val="clear" w:color="auto" w:fill="4F81BD" w:themeFill="accent1"/>
            <w:noWrap/>
            <w:hideMark/>
          </w:tcPr>
          <w:p w14:paraId="4B79CFB4" w14:textId="77777777" w:rsidR="00F22870" w:rsidRPr="003D0109" w:rsidRDefault="00F22870" w:rsidP="00477C28">
            <w:pPr>
              <w:keepNext/>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FFFFFF" w:themeColor="background1"/>
                <w:sz w:val="20"/>
                <w:szCs w:val="20"/>
                <w:lang w:eastAsia="en-US"/>
              </w:rPr>
            </w:pPr>
            <w:r w:rsidRPr="003D0109">
              <w:rPr>
                <w:rFonts w:eastAsia="Times New Roman" w:cs="Arial"/>
                <w:b/>
                <w:color w:val="FFFFFF" w:themeColor="background1"/>
                <w:sz w:val="20"/>
                <w:szCs w:val="20"/>
                <w:lang w:eastAsia="en-US"/>
              </w:rPr>
              <w:t>(% of Total Rate)</w:t>
            </w:r>
          </w:p>
        </w:tc>
        <w:tc>
          <w:tcPr>
            <w:tcW w:w="1228" w:type="pct"/>
            <w:shd w:val="clear" w:color="auto" w:fill="4F81BD" w:themeFill="accent1"/>
            <w:noWrap/>
            <w:hideMark/>
          </w:tcPr>
          <w:p w14:paraId="1B22008A" w14:textId="77777777" w:rsidR="00F22870" w:rsidRPr="003D0109" w:rsidRDefault="00F22870" w:rsidP="00477C28">
            <w:pPr>
              <w:keepNext/>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FFFFFF" w:themeColor="background1"/>
                <w:sz w:val="20"/>
                <w:szCs w:val="20"/>
                <w:lang w:eastAsia="en-US"/>
              </w:rPr>
            </w:pPr>
            <w:r w:rsidRPr="003D0109">
              <w:rPr>
                <w:rFonts w:eastAsia="Times New Roman" w:cs="Arial"/>
                <w:b/>
                <w:color w:val="FFFFFF" w:themeColor="background1"/>
                <w:sz w:val="20"/>
                <w:szCs w:val="20"/>
                <w:lang w:eastAsia="en-US"/>
              </w:rPr>
              <w:t>(% per Participant)</w:t>
            </w:r>
          </w:p>
        </w:tc>
        <w:tc>
          <w:tcPr>
            <w:tcW w:w="1272" w:type="pct"/>
            <w:shd w:val="clear" w:color="auto" w:fill="4F81BD" w:themeFill="accent1"/>
            <w:noWrap/>
            <w:hideMark/>
          </w:tcPr>
          <w:p w14:paraId="027B60F0" w14:textId="77777777" w:rsidR="00F22870" w:rsidRPr="003D0109" w:rsidRDefault="00F22870" w:rsidP="00477C28">
            <w:pPr>
              <w:keepNext/>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FFFFFF" w:themeColor="background1"/>
                <w:sz w:val="20"/>
                <w:szCs w:val="20"/>
                <w:lang w:eastAsia="en-US"/>
              </w:rPr>
            </w:pPr>
            <w:r w:rsidRPr="003D0109">
              <w:rPr>
                <w:rFonts w:eastAsia="Times New Roman" w:cs="Arial"/>
                <w:b/>
                <w:color w:val="FFFFFF" w:themeColor="background1"/>
                <w:sz w:val="20"/>
                <w:szCs w:val="20"/>
                <w:lang w:eastAsia="en-US"/>
              </w:rPr>
              <w:t>(% of Total Bill)</w:t>
            </w:r>
          </w:p>
        </w:tc>
      </w:tr>
      <w:tr w:rsidR="0070767A" w:rsidRPr="003D0109" w14:paraId="50069D36" w14:textId="77777777" w:rsidTr="001B3657">
        <w:trPr>
          <w:trHeight w:val="20"/>
        </w:trPr>
        <w:tc>
          <w:tcPr>
            <w:cnfStyle w:val="001000000000" w:firstRow="0" w:lastRow="0" w:firstColumn="1" w:lastColumn="0" w:oddVBand="0" w:evenVBand="0" w:oddHBand="0" w:evenHBand="0" w:firstRowFirstColumn="0" w:firstRowLastColumn="0" w:lastRowFirstColumn="0" w:lastRowLastColumn="0"/>
            <w:tcW w:w="1183" w:type="pct"/>
            <w:noWrap/>
            <w:hideMark/>
          </w:tcPr>
          <w:p w14:paraId="5EAEA358" w14:textId="77777777" w:rsidR="0070767A" w:rsidRPr="003D0109" w:rsidRDefault="0070767A" w:rsidP="0070767A">
            <w:pPr>
              <w:keepNext/>
              <w:spacing w:after="0" w:line="240" w:lineRule="auto"/>
              <w:rPr>
                <w:rFonts w:eastAsia="Times New Roman" w:cs="Arial"/>
                <w:b w:val="0"/>
                <w:bCs w:val="0"/>
                <w:sz w:val="20"/>
                <w:szCs w:val="20"/>
                <w:lang w:eastAsia="en-US"/>
              </w:rPr>
            </w:pPr>
            <w:r w:rsidRPr="003D0109">
              <w:rPr>
                <w:rFonts w:eastAsia="Times New Roman" w:cs="Arial"/>
                <w:b w:val="0"/>
                <w:bCs w:val="0"/>
                <w:sz w:val="20"/>
                <w:szCs w:val="20"/>
                <w:lang w:eastAsia="en-US"/>
              </w:rPr>
              <w:t>Average Participant</w:t>
            </w:r>
          </w:p>
        </w:tc>
        <w:tc>
          <w:tcPr>
            <w:tcW w:w="1317" w:type="pct"/>
            <w:noWrap/>
            <w:vAlign w:val="bottom"/>
          </w:tcPr>
          <w:p w14:paraId="6CBD48D3" w14:textId="5A7BBFD9" w:rsidR="0070767A" w:rsidRPr="0070767A" w:rsidRDefault="0070767A" w:rsidP="0070767A">
            <w:pPr>
              <w:keepNext/>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BFBFBF" w:themeColor="background1" w:themeShade="BF"/>
                <w:sz w:val="20"/>
                <w:szCs w:val="20"/>
                <w:lang w:eastAsia="en-US"/>
              </w:rPr>
            </w:pPr>
            <w:r w:rsidRPr="0008162E">
              <w:rPr>
                <w:rFonts w:cs="Calibri"/>
                <w:sz w:val="20"/>
                <w:szCs w:val="20"/>
              </w:rPr>
              <w:t>0.0</w:t>
            </w:r>
            <w:r w:rsidR="00FC2ABD">
              <w:rPr>
                <w:rFonts w:cs="Calibri"/>
                <w:sz w:val="20"/>
                <w:szCs w:val="20"/>
              </w:rPr>
              <w:t>3</w:t>
            </w:r>
            <w:r w:rsidRPr="0008162E">
              <w:rPr>
                <w:rFonts w:cs="Calibri"/>
                <w:sz w:val="20"/>
                <w:szCs w:val="20"/>
              </w:rPr>
              <w:t>%</w:t>
            </w:r>
          </w:p>
        </w:tc>
        <w:tc>
          <w:tcPr>
            <w:tcW w:w="1228" w:type="pct"/>
            <w:noWrap/>
            <w:vAlign w:val="bottom"/>
          </w:tcPr>
          <w:p w14:paraId="349FA909" w14:textId="64F512F6" w:rsidR="0070767A" w:rsidRPr="0070767A" w:rsidRDefault="0070767A" w:rsidP="0070767A">
            <w:pPr>
              <w:keepNext/>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BFBFBF" w:themeColor="background1" w:themeShade="BF"/>
                <w:sz w:val="20"/>
                <w:szCs w:val="20"/>
                <w:lang w:eastAsia="en-US"/>
              </w:rPr>
            </w:pPr>
            <w:r w:rsidRPr="0008162E">
              <w:rPr>
                <w:rFonts w:cs="Calibri"/>
                <w:sz w:val="20"/>
                <w:szCs w:val="20"/>
              </w:rPr>
              <w:t>-8.</w:t>
            </w:r>
            <w:r w:rsidR="00FC2ABD">
              <w:rPr>
                <w:rFonts w:cs="Calibri"/>
                <w:sz w:val="20"/>
                <w:szCs w:val="20"/>
              </w:rPr>
              <w:t>43</w:t>
            </w:r>
            <w:r w:rsidRPr="0008162E">
              <w:rPr>
                <w:rFonts w:cs="Calibri"/>
                <w:sz w:val="20"/>
                <w:szCs w:val="20"/>
              </w:rPr>
              <w:t>%</w:t>
            </w:r>
          </w:p>
        </w:tc>
        <w:tc>
          <w:tcPr>
            <w:tcW w:w="1272" w:type="pct"/>
            <w:noWrap/>
            <w:vAlign w:val="bottom"/>
          </w:tcPr>
          <w:p w14:paraId="6C2484C6" w14:textId="52BF7D9A" w:rsidR="0070767A" w:rsidRPr="0070767A" w:rsidRDefault="0070767A" w:rsidP="0070767A">
            <w:pPr>
              <w:keepNext/>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BFBFBF" w:themeColor="background1" w:themeShade="BF"/>
                <w:sz w:val="20"/>
                <w:szCs w:val="20"/>
                <w:lang w:eastAsia="en-US"/>
              </w:rPr>
            </w:pPr>
            <w:r w:rsidRPr="0008162E">
              <w:rPr>
                <w:rFonts w:cs="Calibri"/>
                <w:sz w:val="20"/>
                <w:szCs w:val="20"/>
              </w:rPr>
              <w:t>-</w:t>
            </w:r>
            <w:r w:rsidR="00FC2ABD">
              <w:rPr>
                <w:rFonts w:cs="Calibri"/>
                <w:sz w:val="20"/>
                <w:szCs w:val="20"/>
              </w:rPr>
              <w:t>9</w:t>
            </w:r>
            <w:r w:rsidRPr="0008162E">
              <w:rPr>
                <w:rFonts w:cs="Calibri"/>
                <w:sz w:val="20"/>
                <w:szCs w:val="20"/>
              </w:rPr>
              <w:t>.</w:t>
            </w:r>
            <w:r w:rsidR="00FC2ABD">
              <w:rPr>
                <w:rFonts w:cs="Calibri"/>
                <w:sz w:val="20"/>
                <w:szCs w:val="20"/>
              </w:rPr>
              <w:t>20</w:t>
            </w:r>
            <w:r w:rsidRPr="0008162E">
              <w:rPr>
                <w:rFonts w:cs="Calibri"/>
                <w:sz w:val="20"/>
                <w:szCs w:val="20"/>
              </w:rPr>
              <w:t>%</w:t>
            </w:r>
          </w:p>
        </w:tc>
      </w:tr>
      <w:tr w:rsidR="0070767A" w:rsidRPr="003D0109" w14:paraId="429EFB21" w14:textId="77777777" w:rsidTr="001B36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83" w:type="pct"/>
            <w:noWrap/>
            <w:hideMark/>
          </w:tcPr>
          <w:p w14:paraId="28C9EF12" w14:textId="77777777" w:rsidR="0070767A" w:rsidRPr="003D0109" w:rsidRDefault="0070767A" w:rsidP="0070767A">
            <w:pPr>
              <w:keepNext/>
              <w:spacing w:after="0" w:line="240" w:lineRule="auto"/>
              <w:rPr>
                <w:rFonts w:eastAsia="Times New Roman" w:cs="Arial"/>
                <w:b w:val="0"/>
                <w:bCs w:val="0"/>
                <w:sz w:val="20"/>
                <w:szCs w:val="20"/>
                <w:lang w:eastAsia="en-US"/>
              </w:rPr>
            </w:pPr>
            <w:r w:rsidRPr="003D0109">
              <w:rPr>
                <w:rFonts w:eastAsia="Times New Roman" w:cs="Arial"/>
                <w:b w:val="0"/>
                <w:bCs w:val="0"/>
                <w:sz w:val="20"/>
                <w:szCs w:val="20"/>
                <w:lang w:eastAsia="en-US"/>
              </w:rPr>
              <w:t>Non-Participant</w:t>
            </w:r>
          </w:p>
        </w:tc>
        <w:tc>
          <w:tcPr>
            <w:tcW w:w="1317" w:type="pct"/>
            <w:noWrap/>
            <w:vAlign w:val="bottom"/>
          </w:tcPr>
          <w:p w14:paraId="65E53FD5" w14:textId="59E7C673" w:rsidR="0070767A" w:rsidRPr="0070767A" w:rsidRDefault="0070767A" w:rsidP="0070767A">
            <w:pPr>
              <w:keepNext/>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BFBFBF" w:themeColor="background1" w:themeShade="BF"/>
                <w:sz w:val="20"/>
                <w:szCs w:val="20"/>
                <w:lang w:eastAsia="en-US"/>
              </w:rPr>
            </w:pPr>
            <w:r w:rsidRPr="0008162E">
              <w:rPr>
                <w:rFonts w:cs="Calibri"/>
                <w:sz w:val="20"/>
                <w:szCs w:val="20"/>
              </w:rPr>
              <w:t>0.0</w:t>
            </w:r>
            <w:r w:rsidR="00FC2ABD">
              <w:rPr>
                <w:rFonts w:cs="Calibri"/>
                <w:sz w:val="20"/>
                <w:szCs w:val="20"/>
              </w:rPr>
              <w:t>3</w:t>
            </w:r>
            <w:r w:rsidRPr="0008162E">
              <w:rPr>
                <w:rFonts w:cs="Calibri"/>
                <w:sz w:val="20"/>
                <w:szCs w:val="20"/>
              </w:rPr>
              <w:t>%</w:t>
            </w:r>
          </w:p>
        </w:tc>
        <w:tc>
          <w:tcPr>
            <w:tcW w:w="1228" w:type="pct"/>
            <w:noWrap/>
            <w:vAlign w:val="bottom"/>
          </w:tcPr>
          <w:p w14:paraId="26CEB45C" w14:textId="5706B594" w:rsidR="0070767A" w:rsidRPr="0070767A" w:rsidRDefault="0070767A" w:rsidP="0070767A">
            <w:pPr>
              <w:keepNext/>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BFBFBF" w:themeColor="background1" w:themeShade="BF"/>
                <w:sz w:val="20"/>
                <w:szCs w:val="20"/>
                <w:lang w:eastAsia="en-US"/>
              </w:rPr>
            </w:pPr>
            <w:r w:rsidRPr="0008162E">
              <w:rPr>
                <w:rFonts w:cs="Calibri"/>
                <w:sz w:val="20"/>
                <w:szCs w:val="20"/>
              </w:rPr>
              <w:t>0.00%</w:t>
            </w:r>
          </w:p>
        </w:tc>
        <w:tc>
          <w:tcPr>
            <w:tcW w:w="1272" w:type="pct"/>
            <w:noWrap/>
            <w:vAlign w:val="bottom"/>
          </w:tcPr>
          <w:p w14:paraId="62E9E910" w14:textId="75903BC1" w:rsidR="0070767A" w:rsidRPr="0070767A" w:rsidRDefault="0070767A" w:rsidP="0070767A">
            <w:pPr>
              <w:keepNext/>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BFBFBF" w:themeColor="background1" w:themeShade="BF"/>
                <w:sz w:val="20"/>
                <w:szCs w:val="20"/>
                <w:lang w:eastAsia="en-US"/>
              </w:rPr>
            </w:pPr>
            <w:r w:rsidRPr="0008162E">
              <w:rPr>
                <w:rFonts w:cs="Calibri"/>
                <w:sz w:val="20"/>
                <w:szCs w:val="20"/>
              </w:rPr>
              <w:t>0.0</w:t>
            </w:r>
            <w:r w:rsidR="00FC2ABD">
              <w:rPr>
                <w:rFonts w:cs="Calibri"/>
                <w:sz w:val="20"/>
                <w:szCs w:val="20"/>
              </w:rPr>
              <w:t>0</w:t>
            </w:r>
            <w:r w:rsidRPr="0008162E">
              <w:rPr>
                <w:rFonts w:cs="Calibri"/>
                <w:sz w:val="20"/>
                <w:szCs w:val="20"/>
              </w:rPr>
              <w:t>%</w:t>
            </w:r>
          </w:p>
        </w:tc>
      </w:tr>
      <w:tr w:rsidR="0070767A" w:rsidRPr="003D0109" w14:paraId="62B8AF9E" w14:textId="77777777" w:rsidTr="001B3657">
        <w:trPr>
          <w:trHeight w:val="20"/>
        </w:trPr>
        <w:tc>
          <w:tcPr>
            <w:cnfStyle w:val="001000000000" w:firstRow="0" w:lastRow="0" w:firstColumn="1" w:lastColumn="0" w:oddVBand="0" w:evenVBand="0" w:oddHBand="0" w:evenHBand="0" w:firstRowFirstColumn="0" w:firstRowLastColumn="0" w:lastRowFirstColumn="0" w:lastRowLastColumn="0"/>
            <w:tcW w:w="1183" w:type="pct"/>
            <w:noWrap/>
            <w:hideMark/>
          </w:tcPr>
          <w:p w14:paraId="6815058A" w14:textId="77777777" w:rsidR="0070767A" w:rsidRPr="003D0109" w:rsidRDefault="0070767A" w:rsidP="0070767A">
            <w:pPr>
              <w:keepNext/>
              <w:spacing w:after="0" w:line="240" w:lineRule="auto"/>
              <w:rPr>
                <w:rFonts w:eastAsia="Times New Roman" w:cs="Arial"/>
                <w:b w:val="0"/>
                <w:bCs w:val="0"/>
                <w:sz w:val="20"/>
                <w:szCs w:val="20"/>
                <w:lang w:eastAsia="en-US"/>
              </w:rPr>
            </w:pPr>
            <w:r w:rsidRPr="003D0109">
              <w:rPr>
                <w:rFonts w:eastAsia="Times New Roman" w:cs="Arial"/>
                <w:b w:val="0"/>
                <w:bCs w:val="0"/>
                <w:sz w:val="20"/>
                <w:szCs w:val="20"/>
                <w:lang w:eastAsia="en-US"/>
              </w:rPr>
              <w:t>Average Customer</w:t>
            </w:r>
          </w:p>
        </w:tc>
        <w:tc>
          <w:tcPr>
            <w:tcW w:w="1317" w:type="pct"/>
            <w:noWrap/>
            <w:vAlign w:val="bottom"/>
          </w:tcPr>
          <w:p w14:paraId="09827633" w14:textId="13245FD4" w:rsidR="0070767A" w:rsidRPr="0070767A" w:rsidRDefault="0070767A" w:rsidP="0070767A">
            <w:pPr>
              <w:keepNext/>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BFBFBF" w:themeColor="background1" w:themeShade="BF"/>
                <w:sz w:val="20"/>
                <w:szCs w:val="20"/>
                <w:lang w:eastAsia="en-US"/>
              </w:rPr>
            </w:pPr>
            <w:r w:rsidRPr="0008162E">
              <w:rPr>
                <w:rFonts w:cs="Calibri"/>
                <w:sz w:val="20"/>
                <w:szCs w:val="20"/>
              </w:rPr>
              <w:t>0.0</w:t>
            </w:r>
            <w:r w:rsidR="00FC2ABD">
              <w:rPr>
                <w:rFonts w:cs="Calibri"/>
                <w:sz w:val="20"/>
                <w:szCs w:val="20"/>
              </w:rPr>
              <w:t>3</w:t>
            </w:r>
            <w:r w:rsidRPr="0008162E">
              <w:rPr>
                <w:rFonts w:cs="Calibri"/>
                <w:sz w:val="20"/>
                <w:szCs w:val="20"/>
              </w:rPr>
              <w:t>%</w:t>
            </w:r>
          </w:p>
        </w:tc>
        <w:tc>
          <w:tcPr>
            <w:tcW w:w="1228" w:type="pct"/>
            <w:noWrap/>
            <w:vAlign w:val="bottom"/>
          </w:tcPr>
          <w:p w14:paraId="6CFD27B0" w14:textId="70C08514" w:rsidR="0070767A" w:rsidRPr="0070767A" w:rsidRDefault="0070767A" w:rsidP="0070767A">
            <w:pPr>
              <w:keepNext/>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BFBFBF" w:themeColor="background1" w:themeShade="BF"/>
                <w:sz w:val="20"/>
                <w:szCs w:val="20"/>
                <w:lang w:eastAsia="en-US"/>
              </w:rPr>
            </w:pPr>
            <w:r w:rsidRPr="0008162E">
              <w:rPr>
                <w:rFonts w:cs="Calibri"/>
                <w:sz w:val="20"/>
                <w:szCs w:val="20"/>
              </w:rPr>
              <w:t>-0.4</w:t>
            </w:r>
            <w:r w:rsidR="00FC2ABD">
              <w:rPr>
                <w:rFonts w:cs="Calibri"/>
                <w:sz w:val="20"/>
                <w:szCs w:val="20"/>
              </w:rPr>
              <w:t>6</w:t>
            </w:r>
            <w:r w:rsidRPr="0008162E">
              <w:rPr>
                <w:rFonts w:cs="Calibri"/>
                <w:sz w:val="20"/>
                <w:szCs w:val="20"/>
              </w:rPr>
              <w:t>%</w:t>
            </w:r>
          </w:p>
        </w:tc>
        <w:tc>
          <w:tcPr>
            <w:tcW w:w="1272" w:type="pct"/>
            <w:noWrap/>
            <w:vAlign w:val="bottom"/>
          </w:tcPr>
          <w:p w14:paraId="46E88EBC" w14:textId="69738F0F" w:rsidR="0070767A" w:rsidRPr="0070767A" w:rsidRDefault="0070767A" w:rsidP="0070767A">
            <w:pPr>
              <w:keepNext/>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BFBFBF" w:themeColor="background1" w:themeShade="BF"/>
                <w:sz w:val="20"/>
                <w:szCs w:val="20"/>
                <w:lang w:eastAsia="en-US"/>
              </w:rPr>
            </w:pPr>
            <w:r w:rsidRPr="0008162E">
              <w:rPr>
                <w:rFonts w:cs="Calibri"/>
                <w:sz w:val="20"/>
                <w:szCs w:val="20"/>
              </w:rPr>
              <w:t>-0.</w:t>
            </w:r>
            <w:r w:rsidR="00FC2ABD">
              <w:rPr>
                <w:rFonts w:cs="Calibri"/>
                <w:sz w:val="20"/>
                <w:szCs w:val="20"/>
              </w:rPr>
              <w:t>50</w:t>
            </w:r>
            <w:r w:rsidRPr="0008162E">
              <w:rPr>
                <w:rFonts w:cs="Calibri"/>
                <w:sz w:val="20"/>
                <w:szCs w:val="20"/>
              </w:rPr>
              <w:t>%</w:t>
            </w:r>
          </w:p>
        </w:tc>
      </w:tr>
    </w:tbl>
    <w:p w14:paraId="62361AC3" w14:textId="77777777" w:rsidR="00F22870" w:rsidRDefault="00F22870" w:rsidP="00F22870">
      <w:pPr>
        <w:pStyle w:val="Caption"/>
        <w:keepNext/>
        <w:spacing w:after="0"/>
      </w:pPr>
    </w:p>
    <w:p w14:paraId="50AD86ED" w14:textId="058802F9" w:rsidR="00F22870" w:rsidRPr="00793230" w:rsidRDefault="00F22870" w:rsidP="00793230">
      <w:pPr>
        <w:pStyle w:val="Caption"/>
        <w:keepNext/>
        <w:rPr>
          <w:rFonts w:cs="Calibri"/>
          <w:color w:val="4F81BD"/>
          <w:sz w:val="20"/>
          <w:szCs w:val="20"/>
        </w:rPr>
      </w:pPr>
      <w:r w:rsidRPr="00793230">
        <w:rPr>
          <w:rFonts w:cs="Calibri"/>
          <w:color w:val="4F81BD"/>
          <w:sz w:val="20"/>
          <w:szCs w:val="20"/>
        </w:rPr>
        <w:t xml:space="preserve">Table </w:t>
      </w:r>
      <w:r w:rsidRPr="00793230">
        <w:rPr>
          <w:rFonts w:cs="Calibri"/>
          <w:color w:val="4F81BD"/>
          <w:sz w:val="20"/>
          <w:szCs w:val="20"/>
        </w:rPr>
        <w:fldChar w:fldCharType="begin"/>
      </w:r>
      <w:r w:rsidRPr="00793230">
        <w:rPr>
          <w:rFonts w:cs="Calibri"/>
          <w:color w:val="4F81BD"/>
          <w:sz w:val="20"/>
          <w:szCs w:val="20"/>
        </w:rPr>
        <w:instrText>SEQ Table \* ARABIC</w:instrText>
      </w:r>
      <w:r w:rsidRPr="00793230">
        <w:rPr>
          <w:rFonts w:cs="Calibri"/>
          <w:color w:val="4F81BD"/>
          <w:sz w:val="20"/>
          <w:szCs w:val="20"/>
        </w:rPr>
        <w:fldChar w:fldCharType="separate"/>
      </w:r>
      <w:r w:rsidR="00F573DA" w:rsidRPr="00793230">
        <w:rPr>
          <w:rFonts w:cs="Calibri"/>
          <w:color w:val="4F81BD"/>
          <w:sz w:val="20"/>
          <w:szCs w:val="20"/>
        </w:rPr>
        <w:t>11</w:t>
      </w:r>
      <w:r w:rsidRPr="00793230">
        <w:rPr>
          <w:rFonts w:cs="Calibri"/>
          <w:color w:val="4F81BD"/>
          <w:sz w:val="20"/>
          <w:szCs w:val="20"/>
        </w:rPr>
        <w:fldChar w:fldCharType="end"/>
      </w:r>
      <w:r w:rsidRPr="00793230">
        <w:rPr>
          <w:rFonts w:cs="Calibri"/>
          <w:color w:val="4F81BD"/>
          <w:sz w:val="20"/>
          <w:szCs w:val="20"/>
        </w:rPr>
        <w:t>. Large C&amp;I – Rate and Bill Impact Analysis – G-32, G-62 (202</w:t>
      </w:r>
      <w:r w:rsidR="00897533">
        <w:rPr>
          <w:rFonts w:cs="Calibri"/>
          <w:color w:val="4F81BD"/>
          <w:sz w:val="20"/>
          <w:szCs w:val="20"/>
        </w:rPr>
        <w:t>4</w:t>
      </w:r>
      <w:r w:rsidRPr="00793230">
        <w:rPr>
          <w:rFonts w:cs="Calibri"/>
          <w:color w:val="4F81BD"/>
          <w:sz w:val="20"/>
          <w:szCs w:val="20"/>
        </w:rPr>
        <w:t xml:space="preserve"> EE Plan vs. No EE)</w:t>
      </w:r>
    </w:p>
    <w:tbl>
      <w:tblPr>
        <w:tblStyle w:val="ListTable3-Accent1"/>
        <w:tblW w:w="5000" w:type="pct"/>
        <w:tblLayout w:type="fixed"/>
        <w:tblLook w:val="04A0" w:firstRow="1" w:lastRow="0" w:firstColumn="1" w:lastColumn="0" w:noHBand="0" w:noVBand="1"/>
      </w:tblPr>
      <w:tblGrid>
        <w:gridCol w:w="2212"/>
        <w:gridCol w:w="2463"/>
        <w:gridCol w:w="2296"/>
        <w:gridCol w:w="2379"/>
      </w:tblGrid>
      <w:tr w:rsidR="0069348F" w:rsidRPr="003D0109" w14:paraId="53AF6948" w14:textId="77777777" w:rsidTr="003D0109">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183" w:type="pct"/>
            <w:vMerge w:val="restart"/>
            <w:noWrap/>
            <w:hideMark/>
          </w:tcPr>
          <w:p w14:paraId="2C1E1501" w14:textId="77777777" w:rsidR="00F22870" w:rsidRPr="003D0109" w:rsidRDefault="00F22870" w:rsidP="00477C28">
            <w:pPr>
              <w:spacing w:after="0" w:line="240" w:lineRule="auto"/>
              <w:rPr>
                <w:rFonts w:eastAsia="Times New Roman" w:cs="Arial"/>
                <w:b w:val="0"/>
                <w:sz w:val="20"/>
                <w:lang w:eastAsia="en-US"/>
              </w:rPr>
            </w:pPr>
            <w:r w:rsidRPr="003D0109">
              <w:rPr>
                <w:rFonts w:eastAsia="Times New Roman" w:cs="Arial"/>
                <w:sz w:val="20"/>
                <w:lang w:eastAsia="en-US"/>
              </w:rPr>
              <w:t>Large Commercial</w:t>
            </w:r>
          </w:p>
        </w:tc>
        <w:tc>
          <w:tcPr>
            <w:tcW w:w="1317" w:type="pct"/>
            <w:hideMark/>
          </w:tcPr>
          <w:p w14:paraId="19189837" w14:textId="77777777" w:rsidR="00F22870" w:rsidRPr="003D0109" w:rsidRDefault="00F22870" w:rsidP="00477C2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lang w:eastAsia="en-US"/>
              </w:rPr>
            </w:pPr>
            <w:r w:rsidRPr="003D0109">
              <w:rPr>
                <w:rFonts w:eastAsia="Times New Roman" w:cs="Arial"/>
                <w:sz w:val="20"/>
                <w:lang w:eastAsia="en-US"/>
              </w:rPr>
              <w:t>Long-Term Rate Impacts</w:t>
            </w:r>
          </w:p>
        </w:tc>
        <w:tc>
          <w:tcPr>
            <w:tcW w:w="1228" w:type="pct"/>
            <w:hideMark/>
          </w:tcPr>
          <w:p w14:paraId="5F942914" w14:textId="77777777" w:rsidR="00F22870" w:rsidRPr="003D0109" w:rsidRDefault="00F22870" w:rsidP="00477C2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lang w:eastAsia="en-US"/>
              </w:rPr>
            </w:pPr>
            <w:r w:rsidRPr="003D0109">
              <w:rPr>
                <w:rFonts w:eastAsia="Times New Roman" w:cs="Arial"/>
                <w:sz w:val="20"/>
                <w:lang w:eastAsia="en-US"/>
              </w:rPr>
              <w:t>Typical Energy Savings</w:t>
            </w:r>
          </w:p>
        </w:tc>
        <w:tc>
          <w:tcPr>
            <w:tcW w:w="1272" w:type="pct"/>
            <w:hideMark/>
          </w:tcPr>
          <w:p w14:paraId="51F8DFD2" w14:textId="77777777" w:rsidR="00F22870" w:rsidRPr="003D0109" w:rsidRDefault="00F22870" w:rsidP="00477C2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lang w:eastAsia="en-US"/>
              </w:rPr>
            </w:pPr>
            <w:r w:rsidRPr="003D0109">
              <w:rPr>
                <w:rFonts w:eastAsia="Times New Roman" w:cs="Arial"/>
                <w:sz w:val="20"/>
                <w:lang w:eastAsia="en-US"/>
              </w:rPr>
              <w:t>Typical Bill Savings</w:t>
            </w:r>
          </w:p>
        </w:tc>
      </w:tr>
      <w:tr w:rsidR="00F22870" w:rsidRPr="003D0109" w14:paraId="6A144E63" w14:textId="77777777" w:rsidTr="003D010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83" w:type="pct"/>
            <w:vMerge/>
            <w:noWrap/>
            <w:hideMark/>
          </w:tcPr>
          <w:p w14:paraId="0B66E1E0" w14:textId="77777777" w:rsidR="00F22870" w:rsidRPr="003D0109" w:rsidRDefault="00F22870" w:rsidP="00477C28">
            <w:pPr>
              <w:spacing w:after="0" w:line="240" w:lineRule="auto"/>
              <w:rPr>
                <w:rFonts w:eastAsia="Times New Roman" w:cs="Arial"/>
                <w:b w:val="0"/>
                <w:sz w:val="20"/>
                <w:lang w:eastAsia="en-US"/>
              </w:rPr>
            </w:pPr>
          </w:p>
        </w:tc>
        <w:tc>
          <w:tcPr>
            <w:tcW w:w="1317" w:type="pct"/>
            <w:shd w:val="clear" w:color="auto" w:fill="4F81BD" w:themeFill="accent1"/>
            <w:noWrap/>
            <w:hideMark/>
          </w:tcPr>
          <w:p w14:paraId="04F40560" w14:textId="77777777" w:rsidR="00F22870" w:rsidRPr="003D0109" w:rsidRDefault="00F22870" w:rsidP="00477C2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FFFFFF" w:themeColor="background1"/>
                <w:sz w:val="20"/>
                <w:lang w:eastAsia="en-US"/>
              </w:rPr>
            </w:pPr>
            <w:r w:rsidRPr="003D0109">
              <w:rPr>
                <w:rFonts w:eastAsia="Times New Roman" w:cs="Arial"/>
                <w:b/>
                <w:color w:val="FFFFFF" w:themeColor="background1"/>
                <w:sz w:val="20"/>
                <w:lang w:eastAsia="en-US"/>
              </w:rPr>
              <w:t>(% of Total Rate)</w:t>
            </w:r>
          </w:p>
        </w:tc>
        <w:tc>
          <w:tcPr>
            <w:tcW w:w="1228" w:type="pct"/>
            <w:shd w:val="clear" w:color="auto" w:fill="4F81BD" w:themeFill="accent1"/>
            <w:hideMark/>
          </w:tcPr>
          <w:p w14:paraId="207EF3CB" w14:textId="77777777" w:rsidR="00F22870" w:rsidRPr="003D0109" w:rsidRDefault="00F22870" w:rsidP="00477C2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FFFFFF" w:themeColor="background1"/>
                <w:sz w:val="20"/>
                <w:lang w:eastAsia="en-US"/>
              </w:rPr>
            </w:pPr>
            <w:r w:rsidRPr="003D0109">
              <w:rPr>
                <w:rFonts w:eastAsia="Times New Roman" w:cs="Arial"/>
                <w:b/>
                <w:color w:val="FFFFFF" w:themeColor="background1"/>
                <w:sz w:val="20"/>
                <w:lang w:eastAsia="en-US"/>
              </w:rPr>
              <w:t>(% per Participant)</w:t>
            </w:r>
          </w:p>
        </w:tc>
        <w:tc>
          <w:tcPr>
            <w:tcW w:w="1272" w:type="pct"/>
            <w:shd w:val="clear" w:color="auto" w:fill="4F81BD" w:themeFill="accent1"/>
            <w:noWrap/>
            <w:hideMark/>
          </w:tcPr>
          <w:p w14:paraId="415B63E6" w14:textId="77777777" w:rsidR="00F22870" w:rsidRPr="003D0109" w:rsidRDefault="00F22870" w:rsidP="00477C2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FFFFFF" w:themeColor="background1"/>
                <w:sz w:val="20"/>
                <w:lang w:eastAsia="en-US"/>
              </w:rPr>
            </w:pPr>
            <w:r w:rsidRPr="003D0109">
              <w:rPr>
                <w:rFonts w:eastAsia="Times New Roman" w:cs="Arial"/>
                <w:b/>
                <w:color w:val="FFFFFF" w:themeColor="background1"/>
                <w:sz w:val="20"/>
                <w:lang w:eastAsia="en-US"/>
              </w:rPr>
              <w:t>(% of Total Bill)</w:t>
            </w:r>
          </w:p>
        </w:tc>
      </w:tr>
      <w:tr w:rsidR="00046399" w:rsidRPr="003D0109" w14:paraId="70E80F05" w14:textId="77777777" w:rsidTr="001B3657">
        <w:trPr>
          <w:trHeight w:val="20"/>
        </w:trPr>
        <w:tc>
          <w:tcPr>
            <w:cnfStyle w:val="001000000000" w:firstRow="0" w:lastRow="0" w:firstColumn="1" w:lastColumn="0" w:oddVBand="0" w:evenVBand="0" w:oddHBand="0" w:evenHBand="0" w:firstRowFirstColumn="0" w:firstRowLastColumn="0" w:lastRowFirstColumn="0" w:lastRowLastColumn="0"/>
            <w:tcW w:w="1183" w:type="pct"/>
            <w:noWrap/>
            <w:hideMark/>
          </w:tcPr>
          <w:p w14:paraId="28101205" w14:textId="77777777" w:rsidR="00046399" w:rsidRPr="003D0109" w:rsidRDefault="00046399" w:rsidP="00046399">
            <w:pPr>
              <w:spacing w:after="0"/>
              <w:rPr>
                <w:b w:val="0"/>
                <w:bCs w:val="0"/>
                <w:sz w:val="20"/>
                <w:lang w:eastAsia="en-US"/>
              </w:rPr>
            </w:pPr>
            <w:r w:rsidRPr="003D0109">
              <w:rPr>
                <w:b w:val="0"/>
                <w:bCs w:val="0"/>
                <w:sz w:val="20"/>
                <w:lang w:eastAsia="en-US"/>
              </w:rPr>
              <w:t>Average Participant</w:t>
            </w:r>
          </w:p>
        </w:tc>
        <w:tc>
          <w:tcPr>
            <w:tcW w:w="1317" w:type="pct"/>
            <w:noWrap/>
            <w:vAlign w:val="bottom"/>
          </w:tcPr>
          <w:p w14:paraId="0B900C6E" w14:textId="542F23A6" w:rsidR="00046399" w:rsidRPr="00046399" w:rsidRDefault="00046399" w:rsidP="00046399">
            <w:pPr>
              <w:spacing w:after="0"/>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0"/>
                <w:szCs w:val="20"/>
                <w:lang w:eastAsia="en-US"/>
              </w:rPr>
            </w:pPr>
            <w:r w:rsidRPr="0008162E">
              <w:rPr>
                <w:rFonts w:cs="Calibri"/>
                <w:sz w:val="20"/>
                <w:szCs w:val="20"/>
              </w:rPr>
              <w:t>0.</w:t>
            </w:r>
            <w:r w:rsidR="00FC2ABD">
              <w:rPr>
                <w:rFonts w:cs="Calibri"/>
                <w:sz w:val="20"/>
                <w:szCs w:val="20"/>
              </w:rPr>
              <w:t>14</w:t>
            </w:r>
            <w:r w:rsidRPr="0008162E">
              <w:rPr>
                <w:rFonts w:cs="Calibri"/>
                <w:sz w:val="20"/>
                <w:szCs w:val="20"/>
              </w:rPr>
              <w:t>%</w:t>
            </w:r>
          </w:p>
        </w:tc>
        <w:tc>
          <w:tcPr>
            <w:tcW w:w="1228" w:type="pct"/>
            <w:noWrap/>
            <w:vAlign w:val="bottom"/>
          </w:tcPr>
          <w:p w14:paraId="30399DCC" w14:textId="0ABA6EEE" w:rsidR="00046399" w:rsidRPr="00046399" w:rsidRDefault="00046399" w:rsidP="00046399">
            <w:pPr>
              <w:spacing w:after="0"/>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0"/>
                <w:szCs w:val="20"/>
                <w:lang w:eastAsia="en-US"/>
              </w:rPr>
            </w:pPr>
            <w:r w:rsidRPr="0008162E">
              <w:rPr>
                <w:rFonts w:cs="Calibri"/>
                <w:sz w:val="20"/>
                <w:szCs w:val="20"/>
              </w:rPr>
              <w:t>-</w:t>
            </w:r>
            <w:r w:rsidR="00FC2ABD">
              <w:rPr>
                <w:rFonts w:cs="Calibri"/>
                <w:sz w:val="20"/>
                <w:szCs w:val="20"/>
              </w:rPr>
              <w:t>3</w:t>
            </w:r>
            <w:r w:rsidRPr="0008162E">
              <w:rPr>
                <w:rFonts w:cs="Calibri"/>
                <w:sz w:val="20"/>
                <w:szCs w:val="20"/>
              </w:rPr>
              <w:t>.</w:t>
            </w:r>
            <w:r w:rsidR="00FC2ABD">
              <w:rPr>
                <w:rFonts w:cs="Calibri"/>
                <w:sz w:val="20"/>
                <w:szCs w:val="20"/>
              </w:rPr>
              <w:t>95</w:t>
            </w:r>
            <w:r w:rsidRPr="0008162E">
              <w:rPr>
                <w:rFonts w:cs="Calibri"/>
                <w:sz w:val="20"/>
                <w:szCs w:val="20"/>
              </w:rPr>
              <w:t>%</w:t>
            </w:r>
          </w:p>
        </w:tc>
        <w:tc>
          <w:tcPr>
            <w:tcW w:w="1272" w:type="pct"/>
            <w:noWrap/>
            <w:vAlign w:val="bottom"/>
          </w:tcPr>
          <w:p w14:paraId="2D6759AD" w14:textId="244FC62F" w:rsidR="00046399" w:rsidRPr="00046399" w:rsidRDefault="00046399" w:rsidP="00046399">
            <w:pPr>
              <w:spacing w:after="0"/>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0"/>
                <w:szCs w:val="20"/>
                <w:lang w:eastAsia="en-US"/>
              </w:rPr>
            </w:pPr>
            <w:r w:rsidRPr="0008162E">
              <w:rPr>
                <w:rFonts w:cs="Calibri"/>
                <w:sz w:val="20"/>
                <w:szCs w:val="20"/>
              </w:rPr>
              <w:t>-</w:t>
            </w:r>
            <w:r w:rsidR="00593EAB">
              <w:rPr>
                <w:rFonts w:cs="Calibri"/>
                <w:sz w:val="20"/>
                <w:szCs w:val="20"/>
              </w:rPr>
              <w:t>4</w:t>
            </w:r>
            <w:r w:rsidRPr="0008162E">
              <w:rPr>
                <w:rFonts w:cs="Calibri"/>
                <w:sz w:val="20"/>
                <w:szCs w:val="20"/>
              </w:rPr>
              <w:t>.</w:t>
            </w:r>
            <w:r w:rsidR="00593EAB">
              <w:rPr>
                <w:rFonts w:cs="Calibri"/>
                <w:sz w:val="20"/>
                <w:szCs w:val="20"/>
              </w:rPr>
              <w:t>00</w:t>
            </w:r>
            <w:r w:rsidRPr="0008162E">
              <w:rPr>
                <w:rFonts w:cs="Calibri"/>
                <w:sz w:val="20"/>
                <w:szCs w:val="20"/>
              </w:rPr>
              <w:t>%</w:t>
            </w:r>
          </w:p>
        </w:tc>
      </w:tr>
      <w:tr w:rsidR="00FC2ABD" w:rsidRPr="003D0109" w14:paraId="11FCFBF6" w14:textId="77777777" w:rsidTr="001B36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83" w:type="pct"/>
            <w:noWrap/>
            <w:hideMark/>
          </w:tcPr>
          <w:p w14:paraId="11953678" w14:textId="77777777" w:rsidR="00FC2ABD" w:rsidRPr="003D0109" w:rsidRDefault="00FC2ABD" w:rsidP="00FC2ABD">
            <w:pPr>
              <w:spacing w:after="0"/>
              <w:rPr>
                <w:b w:val="0"/>
                <w:bCs w:val="0"/>
                <w:sz w:val="20"/>
                <w:lang w:eastAsia="en-US"/>
              </w:rPr>
            </w:pPr>
            <w:r w:rsidRPr="003D0109">
              <w:rPr>
                <w:b w:val="0"/>
                <w:bCs w:val="0"/>
                <w:sz w:val="20"/>
                <w:lang w:eastAsia="en-US"/>
              </w:rPr>
              <w:t>Non-Participant</w:t>
            </w:r>
          </w:p>
        </w:tc>
        <w:tc>
          <w:tcPr>
            <w:tcW w:w="1317" w:type="pct"/>
            <w:noWrap/>
            <w:vAlign w:val="bottom"/>
          </w:tcPr>
          <w:p w14:paraId="2457529E" w14:textId="4874C77E" w:rsidR="00FC2ABD" w:rsidRPr="00046399" w:rsidRDefault="00FC2ABD" w:rsidP="00FC2ABD">
            <w:pPr>
              <w:spacing w:after="0"/>
              <w:jc w:val="center"/>
              <w:cnfStyle w:val="000000100000" w:firstRow="0" w:lastRow="0" w:firstColumn="0" w:lastColumn="0" w:oddVBand="0" w:evenVBand="0" w:oddHBand="1" w:evenHBand="0" w:firstRowFirstColumn="0" w:firstRowLastColumn="0" w:lastRowFirstColumn="0" w:lastRowLastColumn="0"/>
              <w:rPr>
                <w:color w:val="BFBFBF" w:themeColor="background1" w:themeShade="BF"/>
                <w:sz w:val="20"/>
                <w:szCs w:val="20"/>
                <w:lang w:eastAsia="en-US"/>
              </w:rPr>
            </w:pPr>
            <w:r w:rsidRPr="0008162E">
              <w:rPr>
                <w:rFonts w:cs="Calibri"/>
                <w:sz w:val="20"/>
                <w:szCs w:val="20"/>
              </w:rPr>
              <w:t>0.</w:t>
            </w:r>
            <w:r>
              <w:rPr>
                <w:rFonts w:cs="Calibri"/>
                <w:sz w:val="20"/>
                <w:szCs w:val="20"/>
              </w:rPr>
              <w:t>14</w:t>
            </w:r>
            <w:r w:rsidRPr="0008162E">
              <w:rPr>
                <w:rFonts w:cs="Calibri"/>
                <w:sz w:val="20"/>
                <w:szCs w:val="20"/>
              </w:rPr>
              <w:t>%</w:t>
            </w:r>
          </w:p>
        </w:tc>
        <w:tc>
          <w:tcPr>
            <w:tcW w:w="1228" w:type="pct"/>
            <w:noWrap/>
            <w:vAlign w:val="bottom"/>
          </w:tcPr>
          <w:p w14:paraId="450933A4" w14:textId="6D8ADBA5" w:rsidR="00FC2ABD" w:rsidRPr="00046399" w:rsidRDefault="00FC2ABD" w:rsidP="00FC2ABD">
            <w:pPr>
              <w:spacing w:after="0"/>
              <w:jc w:val="center"/>
              <w:cnfStyle w:val="000000100000" w:firstRow="0" w:lastRow="0" w:firstColumn="0" w:lastColumn="0" w:oddVBand="0" w:evenVBand="0" w:oddHBand="1" w:evenHBand="0" w:firstRowFirstColumn="0" w:firstRowLastColumn="0" w:lastRowFirstColumn="0" w:lastRowLastColumn="0"/>
              <w:rPr>
                <w:color w:val="BFBFBF" w:themeColor="background1" w:themeShade="BF"/>
                <w:sz w:val="20"/>
                <w:szCs w:val="20"/>
                <w:lang w:eastAsia="en-US"/>
              </w:rPr>
            </w:pPr>
            <w:r w:rsidRPr="0008162E">
              <w:rPr>
                <w:rFonts w:cs="Calibri"/>
                <w:sz w:val="20"/>
                <w:szCs w:val="20"/>
              </w:rPr>
              <w:t>0.00%</w:t>
            </w:r>
          </w:p>
        </w:tc>
        <w:tc>
          <w:tcPr>
            <w:tcW w:w="1272" w:type="pct"/>
            <w:noWrap/>
            <w:vAlign w:val="bottom"/>
          </w:tcPr>
          <w:p w14:paraId="0D0EF5EB" w14:textId="398568A9" w:rsidR="00FC2ABD" w:rsidRPr="00046399" w:rsidRDefault="00FC2ABD" w:rsidP="00FC2ABD">
            <w:pPr>
              <w:spacing w:after="0"/>
              <w:jc w:val="center"/>
              <w:cnfStyle w:val="000000100000" w:firstRow="0" w:lastRow="0" w:firstColumn="0" w:lastColumn="0" w:oddVBand="0" w:evenVBand="0" w:oddHBand="1" w:evenHBand="0" w:firstRowFirstColumn="0" w:firstRowLastColumn="0" w:lastRowFirstColumn="0" w:lastRowLastColumn="0"/>
              <w:rPr>
                <w:color w:val="BFBFBF" w:themeColor="background1" w:themeShade="BF"/>
                <w:sz w:val="20"/>
                <w:szCs w:val="20"/>
                <w:lang w:eastAsia="en-US"/>
              </w:rPr>
            </w:pPr>
            <w:r w:rsidRPr="0008162E">
              <w:rPr>
                <w:rFonts w:cs="Calibri"/>
                <w:sz w:val="20"/>
                <w:szCs w:val="20"/>
              </w:rPr>
              <w:t>0.</w:t>
            </w:r>
            <w:r w:rsidR="00593EAB">
              <w:rPr>
                <w:rFonts w:cs="Calibri"/>
                <w:sz w:val="20"/>
                <w:szCs w:val="20"/>
              </w:rPr>
              <w:t>10</w:t>
            </w:r>
            <w:r w:rsidRPr="0008162E">
              <w:rPr>
                <w:rFonts w:cs="Calibri"/>
                <w:sz w:val="20"/>
                <w:szCs w:val="20"/>
              </w:rPr>
              <w:t>%</w:t>
            </w:r>
          </w:p>
        </w:tc>
      </w:tr>
      <w:tr w:rsidR="00FC2ABD" w:rsidRPr="003D0109" w14:paraId="7615E548" w14:textId="77777777" w:rsidTr="001B3657">
        <w:trPr>
          <w:trHeight w:val="20"/>
        </w:trPr>
        <w:tc>
          <w:tcPr>
            <w:cnfStyle w:val="001000000000" w:firstRow="0" w:lastRow="0" w:firstColumn="1" w:lastColumn="0" w:oddVBand="0" w:evenVBand="0" w:oddHBand="0" w:evenHBand="0" w:firstRowFirstColumn="0" w:firstRowLastColumn="0" w:lastRowFirstColumn="0" w:lastRowLastColumn="0"/>
            <w:tcW w:w="1183" w:type="pct"/>
            <w:noWrap/>
            <w:hideMark/>
          </w:tcPr>
          <w:p w14:paraId="315AB9B3" w14:textId="77777777" w:rsidR="00FC2ABD" w:rsidRPr="003D0109" w:rsidRDefault="00FC2ABD" w:rsidP="00FC2ABD">
            <w:pPr>
              <w:spacing w:after="0"/>
              <w:rPr>
                <w:b w:val="0"/>
                <w:bCs w:val="0"/>
                <w:sz w:val="20"/>
                <w:lang w:eastAsia="en-US"/>
              </w:rPr>
            </w:pPr>
            <w:r w:rsidRPr="003D0109">
              <w:rPr>
                <w:b w:val="0"/>
                <w:bCs w:val="0"/>
                <w:sz w:val="20"/>
                <w:lang w:eastAsia="en-US"/>
              </w:rPr>
              <w:t>Average Customer</w:t>
            </w:r>
          </w:p>
        </w:tc>
        <w:tc>
          <w:tcPr>
            <w:tcW w:w="1317" w:type="pct"/>
            <w:noWrap/>
            <w:vAlign w:val="bottom"/>
          </w:tcPr>
          <w:p w14:paraId="0092DDC0" w14:textId="740CE1E1" w:rsidR="00FC2ABD" w:rsidRPr="00046399" w:rsidRDefault="00FC2ABD" w:rsidP="00FC2ABD">
            <w:pPr>
              <w:spacing w:after="0"/>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0"/>
                <w:szCs w:val="20"/>
                <w:lang w:eastAsia="en-US"/>
              </w:rPr>
            </w:pPr>
            <w:r w:rsidRPr="0008162E">
              <w:rPr>
                <w:rFonts w:cs="Calibri"/>
                <w:sz w:val="20"/>
                <w:szCs w:val="20"/>
              </w:rPr>
              <w:t>0.</w:t>
            </w:r>
            <w:r>
              <w:rPr>
                <w:rFonts w:cs="Calibri"/>
                <w:sz w:val="20"/>
                <w:szCs w:val="20"/>
              </w:rPr>
              <w:t>14</w:t>
            </w:r>
            <w:r w:rsidRPr="0008162E">
              <w:rPr>
                <w:rFonts w:cs="Calibri"/>
                <w:sz w:val="20"/>
                <w:szCs w:val="20"/>
              </w:rPr>
              <w:t>%</w:t>
            </w:r>
          </w:p>
        </w:tc>
        <w:tc>
          <w:tcPr>
            <w:tcW w:w="1228" w:type="pct"/>
            <w:noWrap/>
            <w:vAlign w:val="bottom"/>
          </w:tcPr>
          <w:p w14:paraId="1D51BA70" w14:textId="35F649EC" w:rsidR="00FC2ABD" w:rsidRPr="00046399" w:rsidRDefault="00FC2ABD" w:rsidP="00FC2ABD">
            <w:pPr>
              <w:spacing w:after="0"/>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0"/>
                <w:szCs w:val="20"/>
                <w:lang w:eastAsia="en-US"/>
              </w:rPr>
            </w:pPr>
            <w:r w:rsidRPr="0008162E">
              <w:rPr>
                <w:rFonts w:cs="Calibri"/>
                <w:sz w:val="20"/>
                <w:szCs w:val="20"/>
              </w:rPr>
              <w:t>-0.</w:t>
            </w:r>
            <w:r>
              <w:rPr>
                <w:rFonts w:cs="Calibri"/>
                <w:sz w:val="20"/>
                <w:szCs w:val="20"/>
              </w:rPr>
              <w:t>37</w:t>
            </w:r>
            <w:r w:rsidRPr="0008162E">
              <w:rPr>
                <w:rFonts w:cs="Calibri"/>
                <w:sz w:val="20"/>
                <w:szCs w:val="20"/>
              </w:rPr>
              <w:t>%</w:t>
            </w:r>
          </w:p>
        </w:tc>
        <w:tc>
          <w:tcPr>
            <w:tcW w:w="1272" w:type="pct"/>
            <w:noWrap/>
            <w:vAlign w:val="bottom"/>
          </w:tcPr>
          <w:p w14:paraId="636A0A31" w14:textId="164BDFD6" w:rsidR="00FC2ABD" w:rsidRPr="00046399" w:rsidRDefault="00FC2ABD" w:rsidP="00FC2ABD">
            <w:pPr>
              <w:spacing w:after="0"/>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0"/>
                <w:szCs w:val="20"/>
                <w:lang w:eastAsia="en-US"/>
              </w:rPr>
            </w:pPr>
            <w:r w:rsidRPr="0008162E">
              <w:rPr>
                <w:rFonts w:cs="Calibri"/>
                <w:sz w:val="20"/>
                <w:szCs w:val="20"/>
              </w:rPr>
              <w:t>-0.</w:t>
            </w:r>
            <w:r w:rsidR="00593EAB">
              <w:rPr>
                <w:rFonts w:cs="Calibri"/>
                <w:sz w:val="20"/>
                <w:szCs w:val="20"/>
              </w:rPr>
              <w:t>28</w:t>
            </w:r>
            <w:r w:rsidRPr="0008162E">
              <w:rPr>
                <w:rFonts w:cs="Calibri"/>
                <w:sz w:val="20"/>
                <w:szCs w:val="20"/>
              </w:rPr>
              <w:t>%</w:t>
            </w:r>
          </w:p>
        </w:tc>
      </w:tr>
    </w:tbl>
    <w:p w14:paraId="4109FDD5" w14:textId="77777777" w:rsidR="00F22870" w:rsidRDefault="00F22870" w:rsidP="00F22870">
      <w:pPr>
        <w:autoSpaceDE w:val="0"/>
        <w:autoSpaceDN w:val="0"/>
        <w:adjustRightInd w:val="0"/>
        <w:spacing w:after="0" w:line="240" w:lineRule="auto"/>
        <w:jc w:val="both"/>
        <w:rPr>
          <w:rFonts w:cs="Calibri"/>
          <w:u w:val="single"/>
        </w:rPr>
      </w:pPr>
    </w:p>
    <w:p w14:paraId="34E865E1" w14:textId="5D8EDD0B" w:rsidR="002176AE" w:rsidRDefault="00F22870" w:rsidP="00F22870">
      <w:pPr>
        <w:autoSpaceDE w:val="0"/>
        <w:autoSpaceDN w:val="0"/>
        <w:adjustRightInd w:val="0"/>
        <w:jc w:val="both"/>
        <w:rPr>
          <w:rFonts w:cs="Calibri"/>
        </w:rPr>
      </w:pPr>
      <w:r>
        <w:rPr>
          <w:rFonts w:cs="Calibri"/>
        </w:rPr>
        <w:t>For all residential and income eligible customers</w:t>
      </w:r>
      <w:r w:rsidR="00AC59BB">
        <w:rPr>
          <w:rFonts w:cs="Calibri"/>
        </w:rPr>
        <w:t xml:space="preserve"> </w:t>
      </w:r>
      <w:r w:rsidR="00F208D3">
        <w:rPr>
          <w:rFonts w:cs="Calibri"/>
        </w:rPr>
        <w:t>–</w:t>
      </w:r>
      <w:r w:rsidR="00274E61">
        <w:rPr>
          <w:rFonts w:cs="Calibri"/>
        </w:rPr>
        <w:t xml:space="preserve"> whether considering </w:t>
      </w:r>
      <w:r w:rsidR="00AC59BB">
        <w:rPr>
          <w:rFonts w:cs="Calibri"/>
        </w:rPr>
        <w:t xml:space="preserve">all programs, </w:t>
      </w:r>
      <w:proofErr w:type="gramStart"/>
      <w:r w:rsidR="00AC59BB">
        <w:rPr>
          <w:rFonts w:cs="Calibri"/>
        </w:rPr>
        <w:t>HERs</w:t>
      </w:r>
      <w:proofErr w:type="gramEnd"/>
      <w:r w:rsidR="00AC59BB">
        <w:rPr>
          <w:rFonts w:cs="Calibri"/>
        </w:rPr>
        <w:t xml:space="preserve"> </w:t>
      </w:r>
      <w:r w:rsidR="00274E61">
        <w:rPr>
          <w:rFonts w:cs="Calibri"/>
        </w:rPr>
        <w:t xml:space="preserve">participants </w:t>
      </w:r>
      <w:r w:rsidR="00AC59BB">
        <w:rPr>
          <w:rFonts w:cs="Calibri"/>
        </w:rPr>
        <w:t xml:space="preserve">only, </w:t>
      </w:r>
      <w:r w:rsidR="00F208D3">
        <w:rPr>
          <w:rFonts w:cs="Calibri"/>
        </w:rPr>
        <w:t xml:space="preserve">or </w:t>
      </w:r>
      <w:r w:rsidR="00057287">
        <w:rPr>
          <w:rFonts w:cs="Calibri"/>
        </w:rPr>
        <w:t>all programs without HERs</w:t>
      </w:r>
      <w:r w:rsidR="00F208D3">
        <w:rPr>
          <w:rFonts w:cs="Calibri"/>
        </w:rPr>
        <w:t xml:space="preserve"> –</w:t>
      </w:r>
      <w:r>
        <w:rPr>
          <w:rFonts w:cs="Calibri"/>
        </w:rPr>
        <w:t xml:space="preserve"> </w:t>
      </w:r>
      <w:r w:rsidR="00AC59BB">
        <w:rPr>
          <w:rFonts w:cs="Calibri"/>
        </w:rPr>
        <w:t xml:space="preserve">the average participant </w:t>
      </w:r>
      <w:r w:rsidR="00641885">
        <w:rPr>
          <w:rFonts w:cs="Calibri"/>
        </w:rPr>
        <w:t>is projected to receive</w:t>
      </w:r>
      <w:r>
        <w:rPr>
          <w:rFonts w:cs="Calibri"/>
        </w:rPr>
        <w:t xml:space="preserve"> bill</w:t>
      </w:r>
      <w:r w:rsidR="00AC59BB">
        <w:rPr>
          <w:rFonts w:cs="Calibri"/>
        </w:rPr>
        <w:t xml:space="preserve"> savings</w:t>
      </w:r>
      <w:r w:rsidRPr="00B673D0">
        <w:rPr>
          <w:rFonts w:cs="Calibri"/>
        </w:rPr>
        <w:t xml:space="preserve">. </w:t>
      </w:r>
      <w:r w:rsidR="00D238AB">
        <w:rPr>
          <w:rFonts w:cs="Calibri"/>
        </w:rPr>
        <w:t xml:space="preserve">Long-term rates </w:t>
      </w:r>
      <w:r w:rsidR="00C55207">
        <w:rPr>
          <w:rFonts w:cs="Calibri"/>
        </w:rPr>
        <w:t xml:space="preserve">are projected to </w:t>
      </w:r>
      <w:r w:rsidR="007B0ABA">
        <w:rPr>
          <w:rFonts w:cs="Calibri"/>
        </w:rPr>
        <w:t>increase</w:t>
      </w:r>
      <w:r w:rsidR="00D238AB">
        <w:rPr>
          <w:rFonts w:cs="Calibri"/>
        </w:rPr>
        <w:t xml:space="preserve"> when considering HERs only residential customer</w:t>
      </w:r>
      <w:r w:rsidR="007B0ABA">
        <w:rPr>
          <w:rFonts w:cs="Calibri"/>
        </w:rPr>
        <w:t>.</w:t>
      </w:r>
      <w:r w:rsidR="00D238AB">
        <w:rPr>
          <w:rFonts w:cs="Calibri"/>
        </w:rPr>
        <w:t xml:space="preserve"> When considering all </w:t>
      </w:r>
      <w:r w:rsidR="001703A0">
        <w:rPr>
          <w:rFonts w:cs="Calibri"/>
        </w:rPr>
        <w:t xml:space="preserve">residential </w:t>
      </w:r>
      <w:r w:rsidR="00D238AB">
        <w:rPr>
          <w:rFonts w:cs="Calibri"/>
        </w:rPr>
        <w:t xml:space="preserve">programs or all </w:t>
      </w:r>
      <w:r w:rsidR="001703A0">
        <w:rPr>
          <w:rFonts w:cs="Calibri"/>
        </w:rPr>
        <w:t xml:space="preserve">residential </w:t>
      </w:r>
      <w:r w:rsidR="00D238AB">
        <w:rPr>
          <w:rFonts w:cs="Calibri"/>
        </w:rPr>
        <w:t>programs without HERs, long term rates are projected to decrease</w:t>
      </w:r>
      <w:r w:rsidR="00E25F32">
        <w:rPr>
          <w:rFonts w:cs="Calibri"/>
        </w:rPr>
        <w:t>.</w:t>
      </w:r>
      <w:r w:rsidR="00C55207">
        <w:rPr>
          <w:rFonts w:cs="Calibri"/>
        </w:rPr>
        <w:t xml:space="preserve"> For income eligible customers</w:t>
      </w:r>
      <w:r w:rsidR="007B0ABA">
        <w:rPr>
          <w:rFonts w:cs="Calibri"/>
        </w:rPr>
        <w:t>, l</w:t>
      </w:r>
      <w:r w:rsidR="00E6255F">
        <w:rPr>
          <w:rFonts w:cs="Calibri"/>
        </w:rPr>
        <w:t xml:space="preserve">ong-term rates </w:t>
      </w:r>
      <w:r w:rsidR="00C55207">
        <w:rPr>
          <w:rFonts w:cs="Calibri"/>
        </w:rPr>
        <w:t>are project</w:t>
      </w:r>
      <w:r w:rsidR="002176AE">
        <w:rPr>
          <w:rFonts w:cs="Calibri"/>
        </w:rPr>
        <w:t>ed</w:t>
      </w:r>
      <w:r w:rsidR="00C55207">
        <w:rPr>
          <w:rFonts w:cs="Calibri"/>
        </w:rPr>
        <w:t xml:space="preserve"> to </w:t>
      </w:r>
      <w:r w:rsidR="004A5F2B">
        <w:rPr>
          <w:rFonts w:cs="Calibri"/>
        </w:rPr>
        <w:t xml:space="preserve">increase or remain level </w:t>
      </w:r>
      <w:r w:rsidR="00E25F32">
        <w:rPr>
          <w:rFonts w:cs="Calibri"/>
        </w:rPr>
        <w:t xml:space="preserve">– whether considering </w:t>
      </w:r>
      <w:r w:rsidR="004A5F2B">
        <w:rPr>
          <w:rFonts w:cs="Calibri"/>
        </w:rPr>
        <w:t xml:space="preserve">all programs, HERs only, </w:t>
      </w:r>
      <w:r w:rsidR="00E25F32">
        <w:rPr>
          <w:rFonts w:cs="Calibri"/>
        </w:rPr>
        <w:t xml:space="preserve">or </w:t>
      </w:r>
      <w:r w:rsidR="004A5F2B">
        <w:rPr>
          <w:rFonts w:cs="Calibri"/>
        </w:rPr>
        <w:t xml:space="preserve">all programs without HERs. </w:t>
      </w:r>
    </w:p>
    <w:p w14:paraId="51F57A80" w14:textId="14F2F472" w:rsidR="00F22870" w:rsidRPr="00B673D0" w:rsidRDefault="00F22870" w:rsidP="00F22870">
      <w:pPr>
        <w:autoSpaceDE w:val="0"/>
        <w:autoSpaceDN w:val="0"/>
        <w:adjustRightInd w:val="0"/>
        <w:jc w:val="both"/>
        <w:rPr>
          <w:rFonts w:cs="Calibri"/>
        </w:rPr>
      </w:pPr>
      <w:r>
        <w:rPr>
          <w:rFonts w:cs="Calibri"/>
        </w:rPr>
        <w:t>For all commercial customers, l</w:t>
      </w:r>
      <w:r w:rsidRPr="00B673D0">
        <w:rPr>
          <w:rFonts w:cs="Calibri"/>
        </w:rPr>
        <w:t>ong-term rates</w:t>
      </w:r>
      <w:r>
        <w:rPr>
          <w:rFonts w:cs="Calibri"/>
        </w:rPr>
        <w:t xml:space="preserve"> and non-participant bills</w:t>
      </w:r>
      <w:r w:rsidRPr="00B673D0">
        <w:rPr>
          <w:rFonts w:cs="Calibri"/>
        </w:rPr>
        <w:t xml:space="preserve"> </w:t>
      </w:r>
      <w:r w:rsidR="00C864A3">
        <w:rPr>
          <w:rFonts w:cs="Calibri"/>
        </w:rPr>
        <w:t xml:space="preserve">are projected to </w:t>
      </w:r>
      <w:r w:rsidRPr="00B673D0">
        <w:rPr>
          <w:rFonts w:cs="Calibri"/>
        </w:rPr>
        <w:t>increase</w:t>
      </w:r>
      <w:r>
        <w:rPr>
          <w:rFonts w:cs="Calibri"/>
        </w:rPr>
        <w:t xml:space="preserve"> while </w:t>
      </w:r>
      <w:r w:rsidR="00C864A3">
        <w:rPr>
          <w:rFonts w:cs="Calibri"/>
        </w:rPr>
        <w:t xml:space="preserve">average </w:t>
      </w:r>
      <w:r>
        <w:rPr>
          <w:rFonts w:cs="Calibri"/>
        </w:rPr>
        <w:t xml:space="preserve">participant and average customer bills </w:t>
      </w:r>
      <w:r w:rsidR="00C864A3">
        <w:rPr>
          <w:rFonts w:cs="Calibri"/>
        </w:rPr>
        <w:t xml:space="preserve">are projected to </w:t>
      </w:r>
      <w:r>
        <w:rPr>
          <w:rFonts w:cs="Calibri"/>
        </w:rPr>
        <w:t>decrease</w:t>
      </w:r>
      <w:r w:rsidRPr="00B673D0">
        <w:rPr>
          <w:rFonts w:cs="Calibri"/>
        </w:rPr>
        <w:t xml:space="preserve">. The </w:t>
      </w:r>
      <w:r>
        <w:rPr>
          <w:rFonts w:cs="Calibri"/>
        </w:rPr>
        <w:t>consistent reduction in</w:t>
      </w:r>
      <w:r w:rsidRPr="00B673D0">
        <w:rPr>
          <w:rFonts w:cs="Calibri"/>
        </w:rPr>
        <w:t xml:space="preserve"> average customer bills demonstrates that</w:t>
      </w:r>
      <w:r>
        <w:rPr>
          <w:rFonts w:cs="Calibri"/>
        </w:rPr>
        <w:t xml:space="preserve"> </w:t>
      </w:r>
      <w:r w:rsidRPr="00B673D0">
        <w:rPr>
          <w:rFonts w:cs="Calibri"/>
        </w:rPr>
        <w:t xml:space="preserve">the energy savings </w:t>
      </w:r>
      <w:r>
        <w:rPr>
          <w:rFonts w:cs="Calibri"/>
        </w:rPr>
        <w:t>associated with</w:t>
      </w:r>
      <w:r w:rsidRPr="00B673D0">
        <w:rPr>
          <w:rFonts w:cs="Calibri"/>
        </w:rPr>
        <w:t xml:space="preserve"> participation</w:t>
      </w:r>
      <w:r>
        <w:rPr>
          <w:rFonts w:cs="Calibri"/>
        </w:rPr>
        <w:t xml:space="preserve"> in EE programs outweighs the</w:t>
      </w:r>
      <w:r w:rsidRPr="00B673D0">
        <w:rPr>
          <w:rFonts w:cs="Calibri"/>
        </w:rPr>
        <w:t xml:space="preserve"> incremental costs </w:t>
      </w:r>
      <w:r>
        <w:rPr>
          <w:rFonts w:cs="Calibri"/>
        </w:rPr>
        <w:t>required for implementation</w:t>
      </w:r>
      <w:r w:rsidRPr="00B673D0">
        <w:rPr>
          <w:rFonts w:cs="Calibri"/>
        </w:rPr>
        <w:t>.</w:t>
      </w:r>
    </w:p>
    <w:p w14:paraId="51695B16" w14:textId="0B641AB2" w:rsidR="00F22870" w:rsidRPr="00B673D0" w:rsidRDefault="00F22870" w:rsidP="00F22870">
      <w:pPr>
        <w:pStyle w:val="ListParagraph"/>
        <w:numPr>
          <w:ilvl w:val="0"/>
          <w:numId w:val="1"/>
        </w:numPr>
        <w:autoSpaceDE w:val="0"/>
        <w:autoSpaceDN w:val="0"/>
        <w:adjustRightInd w:val="0"/>
        <w:ind w:left="720"/>
        <w:jc w:val="both"/>
        <w:rPr>
          <w:rFonts w:cs="Calibri"/>
        </w:rPr>
      </w:pPr>
      <w:r w:rsidRPr="00B673D0">
        <w:rPr>
          <w:rFonts w:cs="Calibri"/>
          <w:i/>
        </w:rPr>
        <w:t>Residential long-term rate impact</w:t>
      </w:r>
      <w:r w:rsidRPr="00B673D0">
        <w:rPr>
          <w:rFonts w:cs="Calibri"/>
        </w:rPr>
        <w:t xml:space="preserve">: EE programs bring system benefits </w:t>
      </w:r>
      <w:r>
        <w:rPr>
          <w:rFonts w:cs="Calibri"/>
        </w:rPr>
        <w:t>by way</w:t>
      </w:r>
      <w:r w:rsidRPr="00B673D0">
        <w:rPr>
          <w:rFonts w:cs="Calibri"/>
        </w:rPr>
        <w:t xml:space="preserve"> of avoided infrastructure investment in generation, transmission, and distribution. These avoided investments will ultimately flow through rates and offset the short-term contribution of the </w:t>
      </w:r>
      <w:r>
        <w:rPr>
          <w:rFonts w:cs="Calibri"/>
        </w:rPr>
        <w:t>202</w:t>
      </w:r>
      <w:r w:rsidR="0050508C">
        <w:rPr>
          <w:rFonts w:cs="Calibri"/>
        </w:rPr>
        <w:t>4</w:t>
      </w:r>
      <w:r>
        <w:rPr>
          <w:rFonts w:cs="Calibri"/>
        </w:rPr>
        <w:t xml:space="preserve"> </w:t>
      </w:r>
      <w:r w:rsidRPr="00B673D0">
        <w:rPr>
          <w:rFonts w:cs="Calibri"/>
        </w:rPr>
        <w:t>EE program charge</w:t>
      </w:r>
      <w:r>
        <w:rPr>
          <w:rFonts w:cs="Calibri"/>
        </w:rPr>
        <w:t xml:space="preserve">. Long-term rates will drop over time to the values shown in </w:t>
      </w:r>
      <w:r w:rsidR="00594848">
        <w:rPr>
          <w:rFonts w:cs="Calibri"/>
        </w:rPr>
        <w:t>T</w:t>
      </w:r>
      <w:r>
        <w:rPr>
          <w:rFonts w:cs="Calibri"/>
        </w:rPr>
        <w:t>ables 2-7.</w:t>
      </w:r>
    </w:p>
    <w:p w14:paraId="51D84BFC" w14:textId="6D08E6CB" w:rsidR="00F22870" w:rsidRPr="00B673D0" w:rsidRDefault="00F22870" w:rsidP="00F22870">
      <w:pPr>
        <w:pStyle w:val="ListParagraph"/>
        <w:numPr>
          <w:ilvl w:val="0"/>
          <w:numId w:val="1"/>
        </w:numPr>
        <w:autoSpaceDE w:val="0"/>
        <w:autoSpaceDN w:val="0"/>
        <w:adjustRightInd w:val="0"/>
        <w:ind w:left="720"/>
        <w:jc w:val="both"/>
        <w:rPr>
          <w:rFonts w:cs="Calibri"/>
        </w:rPr>
      </w:pPr>
      <w:r w:rsidRPr="00B673D0">
        <w:rPr>
          <w:rFonts w:cs="Calibri"/>
          <w:i/>
        </w:rPr>
        <w:t xml:space="preserve">Small, </w:t>
      </w:r>
      <w:r>
        <w:rPr>
          <w:rFonts w:cs="Calibri"/>
          <w:i/>
        </w:rPr>
        <w:t>m</w:t>
      </w:r>
      <w:r w:rsidRPr="00B673D0">
        <w:rPr>
          <w:rFonts w:cs="Calibri"/>
          <w:i/>
        </w:rPr>
        <w:t xml:space="preserve">edium, and </w:t>
      </w:r>
      <w:r>
        <w:rPr>
          <w:rFonts w:cs="Calibri"/>
          <w:i/>
        </w:rPr>
        <w:t>l</w:t>
      </w:r>
      <w:r w:rsidRPr="00B673D0">
        <w:rPr>
          <w:rFonts w:cs="Calibri"/>
          <w:i/>
        </w:rPr>
        <w:t xml:space="preserve">arge </w:t>
      </w:r>
      <w:r>
        <w:rPr>
          <w:rFonts w:cs="Calibri"/>
          <w:i/>
        </w:rPr>
        <w:t>commercial</w:t>
      </w:r>
      <w:r w:rsidRPr="00B673D0">
        <w:rPr>
          <w:rFonts w:cs="Calibri"/>
          <w:i/>
        </w:rPr>
        <w:t xml:space="preserve"> long-term rate impact</w:t>
      </w:r>
      <w:r w:rsidRPr="00B673D0">
        <w:rPr>
          <w:rFonts w:cs="Calibri"/>
        </w:rPr>
        <w:t xml:space="preserve">: Avoided infrastructure costs flow through rates and offset the </w:t>
      </w:r>
      <w:r>
        <w:rPr>
          <w:rFonts w:cs="Calibri"/>
        </w:rPr>
        <w:t>202</w:t>
      </w:r>
      <w:r w:rsidR="0050508C">
        <w:rPr>
          <w:rFonts w:cs="Calibri"/>
        </w:rPr>
        <w:t>4</w:t>
      </w:r>
      <w:r>
        <w:rPr>
          <w:rFonts w:cs="Calibri"/>
        </w:rPr>
        <w:t xml:space="preserve"> </w:t>
      </w:r>
      <w:r w:rsidRPr="00B673D0">
        <w:rPr>
          <w:rFonts w:cs="Calibri"/>
        </w:rPr>
        <w:t xml:space="preserve">EE program charge, leading to </w:t>
      </w:r>
      <w:r>
        <w:rPr>
          <w:rFonts w:cs="Calibri"/>
        </w:rPr>
        <w:t>long-term rate increases of</w:t>
      </w:r>
      <w:r w:rsidRPr="00B673D0">
        <w:rPr>
          <w:rFonts w:cs="Calibri"/>
        </w:rPr>
        <w:t xml:space="preserve"> </w:t>
      </w:r>
      <w:r w:rsidR="00A55B1A">
        <w:rPr>
          <w:rFonts w:cs="Calibri"/>
        </w:rPr>
        <w:t>0.</w:t>
      </w:r>
      <w:r w:rsidR="00D765B6">
        <w:rPr>
          <w:rFonts w:cs="Calibri"/>
        </w:rPr>
        <w:t>06</w:t>
      </w:r>
      <w:r w:rsidRPr="00B673D0">
        <w:rPr>
          <w:rFonts w:cs="Calibri"/>
        </w:rPr>
        <w:t>%</w:t>
      </w:r>
      <w:r>
        <w:rPr>
          <w:rFonts w:cs="Calibri"/>
        </w:rPr>
        <w:t xml:space="preserve">, </w:t>
      </w:r>
      <w:r w:rsidR="00A55B1A">
        <w:rPr>
          <w:rFonts w:cs="Calibri"/>
        </w:rPr>
        <w:t>0.</w:t>
      </w:r>
      <w:r w:rsidR="007B27D8">
        <w:rPr>
          <w:rFonts w:cs="Calibri"/>
        </w:rPr>
        <w:t>0</w:t>
      </w:r>
      <w:r w:rsidR="00D765B6">
        <w:rPr>
          <w:rFonts w:cs="Calibri"/>
        </w:rPr>
        <w:t>3</w:t>
      </w:r>
      <w:r>
        <w:rPr>
          <w:rFonts w:cs="Calibri"/>
        </w:rPr>
        <w:t xml:space="preserve">%, and </w:t>
      </w:r>
      <w:r w:rsidR="00A55B1A">
        <w:rPr>
          <w:rFonts w:cs="Calibri"/>
        </w:rPr>
        <w:t>0.</w:t>
      </w:r>
      <w:r w:rsidR="00D765B6">
        <w:rPr>
          <w:rFonts w:cs="Calibri"/>
        </w:rPr>
        <w:t>14</w:t>
      </w:r>
      <w:r>
        <w:rPr>
          <w:rFonts w:cs="Calibri"/>
        </w:rPr>
        <w:t>% for small, medium, and large commercial customers respectively</w:t>
      </w:r>
      <w:r w:rsidRPr="00B673D0">
        <w:rPr>
          <w:rFonts w:cs="Calibri"/>
        </w:rPr>
        <w:t>.</w:t>
      </w:r>
    </w:p>
    <w:p w14:paraId="71E7D916" w14:textId="77777777" w:rsidR="00F22870" w:rsidRPr="00B673D0" w:rsidRDefault="00F22870" w:rsidP="00F22870">
      <w:pPr>
        <w:pStyle w:val="ListParagraph"/>
        <w:numPr>
          <w:ilvl w:val="0"/>
          <w:numId w:val="1"/>
        </w:numPr>
        <w:autoSpaceDE w:val="0"/>
        <w:autoSpaceDN w:val="0"/>
        <w:adjustRightInd w:val="0"/>
        <w:ind w:left="720"/>
        <w:jc w:val="both"/>
        <w:rPr>
          <w:rFonts w:cs="Calibri"/>
        </w:rPr>
      </w:pPr>
      <w:r w:rsidRPr="00B673D0">
        <w:rPr>
          <w:rFonts w:cs="Calibri"/>
          <w:i/>
        </w:rPr>
        <w:t>Average participant bill savings</w:t>
      </w:r>
      <w:r w:rsidRPr="00B673D0">
        <w:rPr>
          <w:rFonts w:cs="Calibri"/>
        </w:rPr>
        <w:t xml:space="preserve">: </w:t>
      </w:r>
      <w:r>
        <w:rPr>
          <w:rFonts w:cs="Calibri"/>
        </w:rPr>
        <w:t>T</w:t>
      </w:r>
      <w:r w:rsidRPr="00B673D0">
        <w:rPr>
          <w:rFonts w:cs="Calibri"/>
        </w:rPr>
        <w:t xml:space="preserve">he proposed EE programs will </w:t>
      </w:r>
      <w:r>
        <w:rPr>
          <w:rFonts w:cs="Calibri"/>
        </w:rPr>
        <w:t>provide</w:t>
      </w:r>
      <w:r w:rsidRPr="00B673D0">
        <w:rPr>
          <w:rFonts w:cs="Calibri"/>
        </w:rPr>
        <w:t xml:space="preserve"> bill savings to participants in all rate groups.</w:t>
      </w:r>
    </w:p>
    <w:p w14:paraId="66801953" w14:textId="48CAD3EF" w:rsidR="00F22870" w:rsidRPr="00B673D0" w:rsidRDefault="00F22870" w:rsidP="00F22870">
      <w:pPr>
        <w:pStyle w:val="ListParagraph"/>
        <w:numPr>
          <w:ilvl w:val="0"/>
          <w:numId w:val="1"/>
        </w:numPr>
        <w:autoSpaceDE w:val="0"/>
        <w:autoSpaceDN w:val="0"/>
        <w:adjustRightInd w:val="0"/>
        <w:ind w:left="720"/>
        <w:jc w:val="both"/>
        <w:rPr>
          <w:rFonts w:cs="Calibri"/>
        </w:rPr>
      </w:pPr>
      <w:r w:rsidRPr="00B673D0">
        <w:rPr>
          <w:rFonts w:cs="Calibri"/>
        </w:rPr>
        <w:t>For the 202</w:t>
      </w:r>
      <w:r w:rsidR="0068152A">
        <w:rPr>
          <w:rFonts w:cs="Calibri"/>
        </w:rPr>
        <w:t>4</w:t>
      </w:r>
      <w:r w:rsidRPr="00B673D0">
        <w:rPr>
          <w:rFonts w:cs="Calibri"/>
        </w:rPr>
        <w:t xml:space="preserve"> Bill Impact Analysis, </w:t>
      </w:r>
      <w:r>
        <w:rPr>
          <w:rFonts w:cs="Calibri"/>
        </w:rPr>
        <w:t>c</w:t>
      </w:r>
      <w:r w:rsidRPr="00B673D0">
        <w:rPr>
          <w:rFonts w:cs="Calibri"/>
        </w:rPr>
        <w:t xml:space="preserve">ommercial participation by rate class is assumed to be </w:t>
      </w:r>
      <w:proofErr w:type="gramStart"/>
      <w:r w:rsidRPr="00B673D0">
        <w:rPr>
          <w:rFonts w:cs="Calibri"/>
        </w:rPr>
        <w:t>similar</w:t>
      </w:r>
      <w:r>
        <w:rPr>
          <w:rFonts w:cs="Calibri"/>
        </w:rPr>
        <w:t xml:space="preserve"> </w:t>
      </w:r>
      <w:r w:rsidRPr="00B673D0">
        <w:rPr>
          <w:rFonts w:cs="Calibri"/>
        </w:rPr>
        <w:t>to</w:t>
      </w:r>
      <w:proofErr w:type="gramEnd"/>
      <w:r w:rsidRPr="00B673D0">
        <w:rPr>
          <w:rFonts w:cs="Calibri"/>
        </w:rPr>
        <w:t xml:space="preserve"> historical participation from calendar year 2019.</w:t>
      </w:r>
    </w:p>
    <w:p w14:paraId="5B587A90" w14:textId="7E1D4B69" w:rsidR="00F22870" w:rsidRPr="00FD53C0" w:rsidRDefault="00F22870" w:rsidP="00F22870">
      <w:pPr>
        <w:pStyle w:val="ListParagraph"/>
        <w:numPr>
          <w:ilvl w:val="0"/>
          <w:numId w:val="1"/>
        </w:numPr>
        <w:autoSpaceDE w:val="0"/>
        <w:autoSpaceDN w:val="0"/>
        <w:adjustRightInd w:val="0"/>
        <w:ind w:left="720"/>
        <w:jc w:val="both"/>
        <w:rPr>
          <w:rFonts w:cs="Calibri"/>
        </w:rPr>
      </w:pPr>
      <w:r w:rsidRPr="00B673D0">
        <w:rPr>
          <w:i/>
        </w:rPr>
        <w:t>Average customer typical bill savings</w:t>
      </w:r>
      <w:r w:rsidRPr="00B673D0">
        <w:t xml:space="preserve">: </w:t>
      </w:r>
      <w:r>
        <w:rPr>
          <w:rFonts w:cs="Calibri"/>
        </w:rPr>
        <w:t>T</w:t>
      </w:r>
      <w:r w:rsidRPr="00B673D0">
        <w:rPr>
          <w:rFonts w:cs="Calibri"/>
        </w:rPr>
        <w:t xml:space="preserve">he proposed EE programs will </w:t>
      </w:r>
      <w:r>
        <w:rPr>
          <w:rFonts w:cs="Calibri"/>
        </w:rPr>
        <w:t>provide</w:t>
      </w:r>
      <w:r w:rsidRPr="00B673D0">
        <w:rPr>
          <w:rFonts w:cs="Calibri"/>
        </w:rPr>
        <w:t xml:space="preserve"> bill savings to participants in all rate groups</w:t>
      </w:r>
      <w:r w:rsidR="007F1D7B">
        <w:rPr>
          <w:rFonts w:cs="Calibri"/>
        </w:rPr>
        <w:t>.</w:t>
      </w:r>
    </w:p>
    <w:p w14:paraId="46CF9E83" w14:textId="78402169" w:rsidR="00782564" w:rsidRPr="006875BB" w:rsidRDefault="00B65D09" w:rsidP="006875BB">
      <w:pPr>
        <w:pStyle w:val="FootnoteText"/>
        <w:spacing w:after="200" w:line="276" w:lineRule="auto"/>
        <w:rPr>
          <w:rFonts w:asciiTheme="minorHAnsi" w:hAnsiTheme="minorHAnsi" w:cstheme="minorHAnsi"/>
          <w:sz w:val="22"/>
          <w:szCs w:val="22"/>
        </w:rPr>
      </w:pPr>
      <w:r w:rsidRPr="00B65D09">
        <w:rPr>
          <w:rFonts w:asciiTheme="minorHAnsi" w:hAnsiTheme="minorHAnsi" w:cstheme="minorHAnsi"/>
          <w:sz w:val="22"/>
          <w:szCs w:val="22"/>
        </w:rPr>
        <w:t>For</w:t>
      </w:r>
      <w:r w:rsidR="00172F43">
        <w:rPr>
          <w:rFonts w:asciiTheme="minorHAnsi" w:hAnsiTheme="minorHAnsi" w:cstheme="minorHAnsi"/>
          <w:sz w:val="22"/>
          <w:szCs w:val="22"/>
        </w:rPr>
        <w:t xml:space="preserve"> both </w:t>
      </w:r>
      <w:r w:rsidRPr="00B65D09">
        <w:rPr>
          <w:rFonts w:asciiTheme="minorHAnsi" w:hAnsiTheme="minorHAnsi" w:cstheme="minorHAnsi"/>
          <w:sz w:val="22"/>
          <w:szCs w:val="22"/>
        </w:rPr>
        <w:t xml:space="preserve">residential </w:t>
      </w:r>
      <w:r w:rsidR="00172F43">
        <w:rPr>
          <w:rFonts w:asciiTheme="minorHAnsi" w:hAnsiTheme="minorHAnsi" w:cstheme="minorHAnsi"/>
          <w:sz w:val="22"/>
          <w:szCs w:val="22"/>
        </w:rPr>
        <w:t xml:space="preserve">and income eligible </w:t>
      </w:r>
      <w:r w:rsidRPr="00B65D09">
        <w:rPr>
          <w:rFonts w:asciiTheme="minorHAnsi" w:hAnsiTheme="minorHAnsi" w:cstheme="minorHAnsi"/>
          <w:sz w:val="22"/>
          <w:szCs w:val="22"/>
        </w:rPr>
        <w:t>electric customers</w:t>
      </w:r>
      <w:r w:rsidR="00E77C5F">
        <w:rPr>
          <w:rFonts w:asciiTheme="minorHAnsi" w:hAnsiTheme="minorHAnsi" w:cstheme="minorHAnsi"/>
          <w:sz w:val="22"/>
          <w:szCs w:val="22"/>
        </w:rPr>
        <w:t xml:space="preserve"> participating in EE programs</w:t>
      </w:r>
      <w:r w:rsidRPr="00B65D09">
        <w:rPr>
          <w:rFonts w:asciiTheme="minorHAnsi" w:hAnsiTheme="minorHAnsi" w:cstheme="minorHAnsi"/>
          <w:sz w:val="22"/>
          <w:szCs w:val="22"/>
        </w:rPr>
        <w:t>,</w:t>
      </w:r>
      <w:r w:rsidR="00AD46B0">
        <w:rPr>
          <w:rFonts w:asciiTheme="minorHAnsi" w:hAnsiTheme="minorHAnsi" w:cstheme="minorHAnsi"/>
          <w:sz w:val="22"/>
          <w:szCs w:val="22"/>
        </w:rPr>
        <w:t xml:space="preserve"> a separate </w:t>
      </w:r>
      <w:r w:rsidR="00511EA2">
        <w:rPr>
          <w:rFonts w:asciiTheme="minorHAnsi" w:hAnsiTheme="minorHAnsi" w:cstheme="minorHAnsi"/>
          <w:sz w:val="22"/>
          <w:szCs w:val="22"/>
        </w:rPr>
        <w:t xml:space="preserve">analysis </w:t>
      </w:r>
      <w:r w:rsidR="0041464F">
        <w:rPr>
          <w:rFonts w:asciiTheme="minorHAnsi" w:hAnsiTheme="minorHAnsi" w:cstheme="minorHAnsi"/>
          <w:sz w:val="22"/>
          <w:szCs w:val="22"/>
        </w:rPr>
        <w:t xml:space="preserve">is used to calculate delivered fuel bill impacts </w:t>
      </w:r>
      <w:r w:rsidR="00F03131">
        <w:rPr>
          <w:rFonts w:asciiTheme="minorHAnsi" w:hAnsiTheme="minorHAnsi" w:cstheme="minorHAnsi"/>
          <w:sz w:val="22"/>
          <w:szCs w:val="22"/>
        </w:rPr>
        <w:t xml:space="preserve">associated with </w:t>
      </w:r>
      <w:r w:rsidR="00E77C5F">
        <w:rPr>
          <w:rFonts w:asciiTheme="minorHAnsi" w:hAnsiTheme="minorHAnsi" w:cstheme="minorHAnsi"/>
          <w:sz w:val="22"/>
          <w:szCs w:val="22"/>
        </w:rPr>
        <w:t>those EE</w:t>
      </w:r>
      <w:r w:rsidR="00F03131">
        <w:rPr>
          <w:rFonts w:asciiTheme="minorHAnsi" w:hAnsiTheme="minorHAnsi" w:cstheme="minorHAnsi"/>
          <w:sz w:val="22"/>
          <w:szCs w:val="22"/>
        </w:rPr>
        <w:t xml:space="preserve"> projects.</w:t>
      </w:r>
      <w:r w:rsidR="00D4026E">
        <w:rPr>
          <w:rFonts w:asciiTheme="minorHAnsi" w:hAnsiTheme="minorHAnsi" w:cstheme="minorHAnsi"/>
          <w:sz w:val="22"/>
          <w:szCs w:val="22"/>
        </w:rPr>
        <w:t xml:space="preserve"> </w:t>
      </w:r>
      <w:r w:rsidR="00633A5F">
        <w:rPr>
          <w:rFonts w:asciiTheme="minorHAnsi" w:hAnsiTheme="minorHAnsi" w:cstheme="minorHAnsi"/>
          <w:sz w:val="22"/>
          <w:szCs w:val="22"/>
        </w:rPr>
        <w:t xml:space="preserve">The primary inputs for this calculation are </w:t>
      </w:r>
      <w:r w:rsidR="00064861">
        <w:rPr>
          <w:rFonts w:asciiTheme="minorHAnsi" w:hAnsiTheme="minorHAnsi" w:cstheme="minorHAnsi"/>
          <w:sz w:val="22"/>
          <w:szCs w:val="22"/>
        </w:rPr>
        <w:t>annual MMBTUs of delivered fuels per home, annual fuel savings</w:t>
      </w:r>
      <w:r w:rsidR="008127BC">
        <w:rPr>
          <w:rFonts w:asciiTheme="minorHAnsi" w:hAnsiTheme="minorHAnsi" w:cstheme="minorHAnsi"/>
          <w:sz w:val="22"/>
          <w:szCs w:val="22"/>
        </w:rPr>
        <w:t xml:space="preserve"> from EE</w:t>
      </w:r>
      <w:r w:rsidR="00064861">
        <w:rPr>
          <w:rFonts w:asciiTheme="minorHAnsi" w:hAnsiTheme="minorHAnsi" w:cstheme="minorHAnsi"/>
          <w:sz w:val="22"/>
          <w:szCs w:val="22"/>
        </w:rPr>
        <w:t xml:space="preserve">, and </w:t>
      </w:r>
      <w:r w:rsidR="004241ED">
        <w:rPr>
          <w:rFonts w:asciiTheme="minorHAnsi" w:hAnsiTheme="minorHAnsi" w:cstheme="minorHAnsi"/>
          <w:sz w:val="22"/>
          <w:szCs w:val="22"/>
        </w:rPr>
        <w:t xml:space="preserve">the number of </w:t>
      </w:r>
      <w:r w:rsidR="00D8647D">
        <w:rPr>
          <w:rFonts w:asciiTheme="minorHAnsi" w:hAnsiTheme="minorHAnsi" w:cstheme="minorHAnsi"/>
          <w:sz w:val="22"/>
          <w:szCs w:val="22"/>
        </w:rPr>
        <w:t>EE participants and non-participants with delivered fuels</w:t>
      </w:r>
      <w:r w:rsidR="004241ED">
        <w:rPr>
          <w:rFonts w:asciiTheme="minorHAnsi" w:hAnsiTheme="minorHAnsi" w:cstheme="minorHAnsi"/>
          <w:sz w:val="22"/>
          <w:szCs w:val="22"/>
        </w:rPr>
        <w:t>.</w:t>
      </w:r>
      <w:r w:rsidR="007365C2">
        <w:rPr>
          <w:rFonts w:asciiTheme="minorHAnsi" w:hAnsiTheme="minorHAnsi" w:cstheme="minorHAnsi"/>
          <w:sz w:val="22"/>
          <w:szCs w:val="22"/>
        </w:rPr>
        <w:t xml:space="preserve"> </w:t>
      </w:r>
      <w:r w:rsidR="00C71607">
        <w:rPr>
          <w:rFonts w:asciiTheme="minorHAnsi" w:hAnsiTheme="minorHAnsi" w:cstheme="minorHAnsi"/>
          <w:sz w:val="22"/>
          <w:szCs w:val="22"/>
        </w:rPr>
        <w:t>While</w:t>
      </w:r>
      <w:r w:rsidR="001C66AA">
        <w:rPr>
          <w:rFonts w:asciiTheme="minorHAnsi" w:hAnsiTheme="minorHAnsi" w:cstheme="minorHAnsi"/>
          <w:sz w:val="22"/>
          <w:szCs w:val="22"/>
        </w:rPr>
        <w:t xml:space="preserve"> the</w:t>
      </w:r>
      <w:r w:rsidR="00804BE4">
        <w:rPr>
          <w:rFonts w:asciiTheme="minorHAnsi" w:hAnsiTheme="minorHAnsi" w:cstheme="minorHAnsi"/>
          <w:sz w:val="22"/>
          <w:szCs w:val="22"/>
        </w:rPr>
        <w:t xml:space="preserve"> number of customers </w:t>
      </w:r>
      <w:r w:rsidR="008B5D09">
        <w:rPr>
          <w:rFonts w:asciiTheme="minorHAnsi" w:hAnsiTheme="minorHAnsi" w:cstheme="minorHAnsi"/>
          <w:sz w:val="22"/>
          <w:szCs w:val="22"/>
        </w:rPr>
        <w:t xml:space="preserve">with delivered fuels </w:t>
      </w:r>
      <w:r w:rsidR="001C66AA">
        <w:rPr>
          <w:rFonts w:asciiTheme="minorHAnsi" w:hAnsiTheme="minorHAnsi" w:cstheme="minorHAnsi"/>
          <w:sz w:val="22"/>
          <w:szCs w:val="22"/>
        </w:rPr>
        <w:t xml:space="preserve">is likely to </w:t>
      </w:r>
      <w:r w:rsidR="00804BE4">
        <w:rPr>
          <w:rFonts w:asciiTheme="minorHAnsi" w:hAnsiTheme="minorHAnsi" w:cstheme="minorHAnsi"/>
          <w:sz w:val="22"/>
          <w:szCs w:val="22"/>
        </w:rPr>
        <w:t xml:space="preserve">decrease </w:t>
      </w:r>
      <w:r w:rsidR="001C66AA">
        <w:rPr>
          <w:rFonts w:asciiTheme="minorHAnsi" w:hAnsiTheme="minorHAnsi" w:cstheme="minorHAnsi"/>
          <w:sz w:val="22"/>
          <w:szCs w:val="22"/>
        </w:rPr>
        <w:t>over time</w:t>
      </w:r>
      <w:r w:rsidR="00C61CDD">
        <w:rPr>
          <w:rFonts w:asciiTheme="minorHAnsi" w:hAnsiTheme="minorHAnsi" w:cstheme="minorHAnsi"/>
          <w:sz w:val="22"/>
          <w:szCs w:val="22"/>
        </w:rPr>
        <w:t xml:space="preserve"> </w:t>
      </w:r>
      <w:r w:rsidR="00804BE4">
        <w:rPr>
          <w:rFonts w:asciiTheme="minorHAnsi" w:hAnsiTheme="minorHAnsi" w:cstheme="minorHAnsi"/>
          <w:sz w:val="22"/>
          <w:szCs w:val="22"/>
        </w:rPr>
        <w:t xml:space="preserve">due to </w:t>
      </w:r>
      <w:r w:rsidR="00C61CDD">
        <w:rPr>
          <w:rFonts w:asciiTheme="minorHAnsi" w:hAnsiTheme="minorHAnsi" w:cstheme="minorHAnsi"/>
          <w:sz w:val="22"/>
          <w:szCs w:val="22"/>
        </w:rPr>
        <w:t>the expansion of electrification initiatives</w:t>
      </w:r>
      <w:r w:rsidR="001C66AA">
        <w:rPr>
          <w:rFonts w:asciiTheme="minorHAnsi" w:hAnsiTheme="minorHAnsi" w:cstheme="minorHAnsi"/>
          <w:sz w:val="22"/>
          <w:szCs w:val="22"/>
        </w:rPr>
        <w:t>, this has not been factored into the analysis</w:t>
      </w:r>
      <w:r w:rsidR="00C61CDD">
        <w:rPr>
          <w:rFonts w:asciiTheme="minorHAnsi" w:hAnsiTheme="minorHAnsi" w:cstheme="minorHAnsi"/>
          <w:sz w:val="22"/>
          <w:szCs w:val="22"/>
        </w:rPr>
        <w:t>.</w:t>
      </w:r>
      <w:r w:rsidR="004241ED">
        <w:rPr>
          <w:rFonts w:asciiTheme="minorHAnsi" w:hAnsiTheme="minorHAnsi" w:cstheme="minorHAnsi"/>
          <w:sz w:val="22"/>
          <w:szCs w:val="22"/>
        </w:rPr>
        <w:t xml:space="preserve"> </w:t>
      </w:r>
      <w:r w:rsidR="00436232">
        <w:rPr>
          <w:rFonts w:asciiTheme="minorHAnsi" w:hAnsiTheme="minorHAnsi" w:cstheme="minorHAnsi"/>
          <w:sz w:val="22"/>
          <w:szCs w:val="22"/>
        </w:rPr>
        <w:t>For C&amp;I customers</w:t>
      </w:r>
      <w:r w:rsidR="007477B5">
        <w:rPr>
          <w:rFonts w:asciiTheme="minorHAnsi" w:hAnsiTheme="minorHAnsi" w:cstheme="minorHAnsi"/>
          <w:sz w:val="22"/>
          <w:szCs w:val="22"/>
        </w:rPr>
        <w:t>,</w:t>
      </w:r>
      <w:r w:rsidR="00436232">
        <w:rPr>
          <w:rFonts w:asciiTheme="minorHAnsi" w:hAnsiTheme="minorHAnsi" w:cstheme="minorHAnsi"/>
          <w:sz w:val="22"/>
          <w:szCs w:val="22"/>
        </w:rPr>
        <w:t xml:space="preserve"> delivered fuel bill impacts are not calculated. Water bill impacts are not calculated for either residential</w:t>
      </w:r>
      <w:r w:rsidR="00172F43">
        <w:rPr>
          <w:rFonts w:asciiTheme="minorHAnsi" w:hAnsiTheme="minorHAnsi" w:cstheme="minorHAnsi"/>
          <w:sz w:val="22"/>
          <w:szCs w:val="22"/>
        </w:rPr>
        <w:t xml:space="preserve">, income eligible, </w:t>
      </w:r>
      <w:r w:rsidR="00436232">
        <w:rPr>
          <w:rFonts w:asciiTheme="minorHAnsi" w:hAnsiTheme="minorHAnsi" w:cstheme="minorHAnsi"/>
          <w:sz w:val="22"/>
          <w:szCs w:val="22"/>
        </w:rPr>
        <w:t>or C&amp;I customers.</w:t>
      </w:r>
      <w:r w:rsidR="00F03131">
        <w:rPr>
          <w:rFonts w:asciiTheme="minorHAnsi" w:hAnsiTheme="minorHAnsi" w:cstheme="minorHAnsi"/>
          <w:sz w:val="22"/>
          <w:szCs w:val="22"/>
        </w:rPr>
        <w:t xml:space="preserve"> See </w:t>
      </w:r>
      <w:r w:rsidR="00287973" w:rsidRPr="000F7B61">
        <w:rPr>
          <w:rFonts w:asciiTheme="minorHAnsi" w:hAnsiTheme="minorHAnsi" w:cstheme="minorHAnsi"/>
          <w:sz w:val="22"/>
          <w:szCs w:val="22"/>
        </w:rPr>
        <w:fldChar w:fldCharType="begin"/>
      </w:r>
      <w:r w:rsidR="00287973" w:rsidRPr="00287973">
        <w:rPr>
          <w:rFonts w:asciiTheme="minorHAnsi" w:hAnsiTheme="minorHAnsi" w:cstheme="minorHAnsi"/>
          <w:sz w:val="22"/>
          <w:szCs w:val="22"/>
        </w:rPr>
        <w:instrText xml:space="preserve"> REF _Ref113559756 \h  \* MERGEFORMAT </w:instrText>
      </w:r>
      <w:r w:rsidR="00287973" w:rsidRPr="000F7B61">
        <w:rPr>
          <w:rFonts w:asciiTheme="minorHAnsi" w:hAnsiTheme="minorHAnsi" w:cstheme="minorHAnsi"/>
          <w:sz w:val="22"/>
          <w:szCs w:val="22"/>
        </w:rPr>
      </w:r>
      <w:r w:rsidR="00287973" w:rsidRPr="000F7B61">
        <w:rPr>
          <w:rFonts w:asciiTheme="minorHAnsi" w:hAnsiTheme="minorHAnsi" w:cstheme="minorHAnsi"/>
          <w:sz w:val="22"/>
          <w:szCs w:val="22"/>
        </w:rPr>
        <w:fldChar w:fldCharType="separate"/>
      </w:r>
      <w:r w:rsidR="00F573DA" w:rsidRPr="00F573DA">
        <w:rPr>
          <w:sz w:val="22"/>
          <w:szCs w:val="22"/>
        </w:rPr>
        <w:t xml:space="preserve">Table </w:t>
      </w:r>
      <w:r w:rsidR="00F573DA" w:rsidRPr="00F573DA">
        <w:rPr>
          <w:noProof/>
          <w:sz w:val="22"/>
          <w:szCs w:val="22"/>
        </w:rPr>
        <w:t>12</w:t>
      </w:r>
      <w:r w:rsidR="00287973" w:rsidRPr="000F7B61">
        <w:rPr>
          <w:rFonts w:asciiTheme="minorHAnsi" w:hAnsiTheme="minorHAnsi" w:cstheme="minorHAnsi"/>
          <w:sz w:val="22"/>
          <w:szCs w:val="22"/>
        </w:rPr>
        <w:fldChar w:fldCharType="end"/>
      </w:r>
      <w:r w:rsidR="00F03131">
        <w:rPr>
          <w:rFonts w:asciiTheme="minorHAnsi" w:hAnsiTheme="minorHAnsi" w:cstheme="minorHAnsi"/>
          <w:sz w:val="22"/>
          <w:szCs w:val="22"/>
        </w:rPr>
        <w:t xml:space="preserve"> below for</w:t>
      </w:r>
      <w:r w:rsidR="00FA5EE3">
        <w:rPr>
          <w:rFonts w:asciiTheme="minorHAnsi" w:hAnsiTheme="minorHAnsi" w:cstheme="minorHAnsi"/>
          <w:sz w:val="22"/>
          <w:szCs w:val="22"/>
        </w:rPr>
        <w:t xml:space="preserve"> average</w:t>
      </w:r>
      <w:r w:rsidR="00866F97">
        <w:rPr>
          <w:rFonts w:asciiTheme="minorHAnsi" w:hAnsiTheme="minorHAnsi" w:cstheme="minorHAnsi"/>
          <w:sz w:val="22"/>
          <w:szCs w:val="22"/>
        </w:rPr>
        <w:t xml:space="preserve"> </w:t>
      </w:r>
      <w:r w:rsidR="00F84B97">
        <w:rPr>
          <w:rFonts w:asciiTheme="minorHAnsi" w:hAnsiTheme="minorHAnsi" w:cstheme="minorHAnsi"/>
          <w:sz w:val="22"/>
          <w:szCs w:val="22"/>
        </w:rPr>
        <w:t>fuel savings and</w:t>
      </w:r>
      <w:r w:rsidR="0065246B">
        <w:rPr>
          <w:rFonts w:asciiTheme="minorHAnsi" w:hAnsiTheme="minorHAnsi" w:cstheme="minorHAnsi"/>
          <w:sz w:val="22"/>
          <w:szCs w:val="22"/>
        </w:rPr>
        <w:t xml:space="preserve"> </w:t>
      </w:r>
      <w:r w:rsidR="00FA5EE3">
        <w:rPr>
          <w:rFonts w:asciiTheme="minorHAnsi" w:hAnsiTheme="minorHAnsi" w:cstheme="minorHAnsi"/>
          <w:sz w:val="22"/>
          <w:szCs w:val="22"/>
        </w:rPr>
        <w:t xml:space="preserve">average </w:t>
      </w:r>
      <w:r w:rsidR="0065246B">
        <w:rPr>
          <w:rFonts w:asciiTheme="minorHAnsi" w:hAnsiTheme="minorHAnsi" w:cstheme="minorHAnsi"/>
          <w:sz w:val="22"/>
          <w:szCs w:val="22"/>
        </w:rPr>
        <w:t>bill savings</w:t>
      </w:r>
      <w:r w:rsidR="00752110">
        <w:rPr>
          <w:rFonts w:asciiTheme="minorHAnsi" w:hAnsiTheme="minorHAnsi" w:cstheme="minorHAnsi"/>
          <w:sz w:val="22"/>
          <w:szCs w:val="22"/>
        </w:rPr>
        <w:t xml:space="preserve"> per customer</w:t>
      </w:r>
      <w:r w:rsidR="0065246B">
        <w:rPr>
          <w:rFonts w:asciiTheme="minorHAnsi" w:hAnsiTheme="minorHAnsi" w:cstheme="minorHAnsi"/>
          <w:sz w:val="22"/>
          <w:szCs w:val="22"/>
        </w:rPr>
        <w:t xml:space="preserve"> </w:t>
      </w:r>
      <w:r w:rsidR="00042E75">
        <w:rPr>
          <w:rFonts w:asciiTheme="minorHAnsi" w:hAnsiTheme="minorHAnsi" w:cstheme="minorHAnsi"/>
          <w:sz w:val="22"/>
          <w:szCs w:val="22"/>
        </w:rPr>
        <w:t>(</w:t>
      </w:r>
      <w:r w:rsidR="00862B2E">
        <w:rPr>
          <w:rFonts w:asciiTheme="minorHAnsi" w:hAnsiTheme="minorHAnsi" w:cstheme="minorHAnsi"/>
          <w:sz w:val="22"/>
          <w:szCs w:val="22"/>
        </w:rPr>
        <w:t xml:space="preserve">in dollars and </w:t>
      </w:r>
      <w:r w:rsidR="00473746">
        <w:rPr>
          <w:rFonts w:asciiTheme="minorHAnsi" w:hAnsiTheme="minorHAnsi" w:cstheme="minorHAnsi"/>
          <w:sz w:val="22"/>
          <w:szCs w:val="22"/>
        </w:rPr>
        <w:t>as a percentage</w:t>
      </w:r>
      <w:r w:rsidR="00042E75">
        <w:rPr>
          <w:rFonts w:asciiTheme="minorHAnsi" w:hAnsiTheme="minorHAnsi" w:cstheme="minorHAnsi"/>
          <w:sz w:val="22"/>
          <w:szCs w:val="22"/>
        </w:rPr>
        <w:t xml:space="preserve">) over the </w:t>
      </w:r>
      <w:r w:rsidR="00FA5EE3">
        <w:rPr>
          <w:rFonts w:asciiTheme="minorHAnsi" w:hAnsiTheme="minorHAnsi" w:cstheme="minorHAnsi"/>
          <w:sz w:val="22"/>
          <w:szCs w:val="22"/>
        </w:rPr>
        <w:t>2</w:t>
      </w:r>
      <w:r w:rsidR="00042E75">
        <w:rPr>
          <w:rFonts w:asciiTheme="minorHAnsi" w:hAnsiTheme="minorHAnsi" w:cstheme="minorHAnsi"/>
          <w:sz w:val="22"/>
          <w:szCs w:val="22"/>
        </w:rPr>
        <w:t>0-year study period</w:t>
      </w:r>
      <w:r w:rsidR="00473746">
        <w:rPr>
          <w:rFonts w:asciiTheme="minorHAnsi" w:hAnsiTheme="minorHAnsi" w:cstheme="minorHAnsi"/>
          <w:sz w:val="22"/>
          <w:szCs w:val="22"/>
        </w:rPr>
        <w:t>.</w:t>
      </w:r>
    </w:p>
    <w:p w14:paraId="6E72B28B" w14:textId="28A67AB1" w:rsidR="005C3AFF" w:rsidRPr="00793230" w:rsidRDefault="009870B9" w:rsidP="00793230">
      <w:pPr>
        <w:pStyle w:val="Caption"/>
        <w:keepNext/>
        <w:rPr>
          <w:rFonts w:cs="Calibri"/>
          <w:color w:val="4F81BD"/>
          <w:sz w:val="20"/>
          <w:szCs w:val="20"/>
        </w:rPr>
      </w:pPr>
      <w:bookmarkStart w:id="6" w:name="_Ref113559756"/>
      <w:r w:rsidRPr="00793230">
        <w:rPr>
          <w:rFonts w:cs="Calibri"/>
          <w:color w:val="4F81BD"/>
          <w:sz w:val="20"/>
          <w:szCs w:val="20"/>
        </w:rPr>
        <w:t xml:space="preserve">Table </w:t>
      </w:r>
      <w:r w:rsidRPr="00793230">
        <w:rPr>
          <w:rFonts w:cs="Calibri"/>
          <w:color w:val="4F81BD"/>
          <w:sz w:val="20"/>
          <w:szCs w:val="20"/>
        </w:rPr>
        <w:fldChar w:fldCharType="begin"/>
      </w:r>
      <w:r w:rsidRPr="00793230">
        <w:rPr>
          <w:rFonts w:cs="Calibri"/>
          <w:color w:val="4F81BD"/>
          <w:sz w:val="20"/>
          <w:szCs w:val="20"/>
        </w:rPr>
        <w:instrText>SEQ Table \* ARABIC</w:instrText>
      </w:r>
      <w:r w:rsidRPr="00793230">
        <w:rPr>
          <w:rFonts w:cs="Calibri"/>
          <w:color w:val="4F81BD"/>
          <w:sz w:val="20"/>
          <w:szCs w:val="20"/>
        </w:rPr>
        <w:fldChar w:fldCharType="separate"/>
      </w:r>
      <w:r w:rsidR="00F573DA" w:rsidRPr="00793230">
        <w:rPr>
          <w:rFonts w:cs="Calibri"/>
          <w:color w:val="4F81BD"/>
          <w:sz w:val="20"/>
          <w:szCs w:val="20"/>
        </w:rPr>
        <w:t>12</w:t>
      </w:r>
      <w:r w:rsidRPr="00793230">
        <w:rPr>
          <w:rFonts w:cs="Calibri"/>
          <w:color w:val="4F81BD"/>
          <w:sz w:val="20"/>
          <w:szCs w:val="20"/>
        </w:rPr>
        <w:fldChar w:fldCharType="end"/>
      </w:r>
      <w:bookmarkEnd w:id="6"/>
      <w:r w:rsidRPr="00793230">
        <w:rPr>
          <w:rFonts w:cs="Calibri"/>
          <w:color w:val="4F81BD"/>
          <w:sz w:val="20"/>
          <w:szCs w:val="20"/>
        </w:rPr>
        <w:t>.</w:t>
      </w:r>
      <w:r w:rsidR="008A4603" w:rsidRPr="00793230">
        <w:rPr>
          <w:rFonts w:cs="Calibri"/>
          <w:color w:val="4F81BD"/>
          <w:sz w:val="20"/>
          <w:szCs w:val="20"/>
        </w:rPr>
        <w:t xml:space="preserve"> Residential and Income Eligible EE Participants Delivered Fuel Bill Impacts</w:t>
      </w:r>
    </w:p>
    <w:tbl>
      <w:tblPr>
        <w:tblStyle w:val="ListTable3-Accent1"/>
        <w:tblW w:w="5000" w:type="pct"/>
        <w:tblLayout w:type="fixed"/>
        <w:tblLook w:val="04A0" w:firstRow="1" w:lastRow="0" w:firstColumn="1" w:lastColumn="0" w:noHBand="0" w:noVBand="1"/>
      </w:tblPr>
      <w:tblGrid>
        <w:gridCol w:w="2190"/>
        <w:gridCol w:w="2440"/>
        <w:gridCol w:w="2360"/>
        <w:gridCol w:w="2360"/>
      </w:tblGrid>
      <w:tr w:rsidR="00862B2E" w:rsidRPr="003D0109" w14:paraId="18001BBD" w14:textId="77777777" w:rsidTr="003D0109">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171" w:type="pct"/>
            <w:vMerge w:val="restart"/>
            <w:noWrap/>
            <w:hideMark/>
          </w:tcPr>
          <w:p w14:paraId="030763A4" w14:textId="4E30BB38" w:rsidR="00862B2E" w:rsidRPr="003D0109" w:rsidRDefault="00862B2E" w:rsidP="00246FAE">
            <w:pPr>
              <w:spacing w:after="0" w:line="240" w:lineRule="auto"/>
              <w:rPr>
                <w:rFonts w:eastAsia="Times New Roman" w:cs="Arial"/>
                <w:b w:val="0"/>
                <w:sz w:val="20"/>
                <w:lang w:eastAsia="en-US"/>
              </w:rPr>
            </w:pPr>
          </w:p>
        </w:tc>
        <w:tc>
          <w:tcPr>
            <w:tcW w:w="1305" w:type="pct"/>
            <w:hideMark/>
          </w:tcPr>
          <w:p w14:paraId="4D862CE5" w14:textId="35F8DE47" w:rsidR="00862B2E" w:rsidRPr="003D0109" w:rsidRDefault="00862B2E" w:rsidP="00246F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lang w:eastAsia="en-US"/>
              </w:rPr>
            </w:pPr>
            <w:r w:rsidRPr="003D0109">
              <w:rPr>
                <w:rFonts w:eastAsia="Times New Roman" w:cs="Arial"/>
                <w:sz w:val="20"/>
                <w:lang w:eastAsia="en-US"/>
              </w:rPr>
              <w:t>Annual Fuel Savings</w:t>
            </w:r>
          </w:p>
        </w:tc>
        <w:tc>
          <w:tcPr>
            <w:tcW w:w="2524" w:type="pct"/>
            <w:gridSpan w:val="2"/>
          </w:tcPr>
          <w:p w14:paraId="3D80F9E8" w14:textId="6AD04458" w:rsidR="00862B2E" w:rsidRPr="003D0109" w:rsidRDefault="00FA5EE3" w:rsidP="00246F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lang w:eastAsia="en-US"/>
              </w:rPr>
            </w:pPr>
            <w:r w:rsidRPr="003D0109">
              <w:rPr>
                <w:rFonts w:eastAsia="Times New Roman" w:cs="Arial"/>
                <w:sz w:val="20"/>
                <w:lang w:eastAsia="en-US"/>
              </w:rPr>
              <w:t xml:space="preserve">Annual </w:t>
            </w:r>
            <w:r w:rsidR="00862B2E" w:rsidRPr="003D0109">
              <w:rPr>
                <w:rFonts w:eastAsia="Times New Roman" w:cs="Arial"/>
                <w:sz w:val="20"/>
                <w:lang w:eastAsia="en-US"/>
              </w:rPr>
              <w:t>Bill Savings</w:t>
            </w:r>
          </w:p>
        </w:tc>
      </w:tr>
      <w:tr w:rsidR="00862B2E" w:rsidRPr="003D0109" w14:paraId="077A7AF3" w14:textId="77777777" w:rsidTr="0072004C">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171" w:type="pct"/>
            <w:vMerge/>
            <w:noWrap/>
            <w:hideMark/>
          </w:tcPr>
          <w:p w14:paraId="5734EF0F" w14:textId="77777777" w:rsidR="00862B2E" w:rsidRPr="003D0109" w:rsidRDefault="00862B2E" w:rsidP="00246FAE">
            <w:pPr>
              <w:spacing w:after="0" w:line="240" w:lineRule="auto"/>
              <w:rPr>
                <w:rFonts w:eastAsia="Times New Roman" w:cs="Arial"/>
                <w:b w:val="0"/>
                <w:sz w:val="20"/>
                <w:lang w:eastAsia="en-US"/>
              </w:rPr>
            </w:pPr>
          </w:p>
        </w:tc>
        <w:tc>
          <w:tcPr>
            <w:tcW w:w="1305" w:type="pct"/>
            <w:shd w:val="clear" w:color="auto" w:fill="4F81BD" w:themeFill="accent1"/>
            <w:noWrap/>
            <w:hideMark/>
          </w:tcPr>
          <w:p w14:paraId="24C404A4" w14:textId="3252F8FA" w:rsidR="00862B2E" w:rsidRPr="003D0109" w:rsidRDefault="00862B2E" w:rsidP="00246FA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FFFFFF" w:themeColor="background1"/>
                <w:sz w:val="20"/>
                <w:lang w:eastAsia="en-US"/>
              </w:rPr>
            </w:pPr>
            <w:r w:rsidRPr="003D0109">
              <w:rPr>
                <w:rFonts w:eastAsia="Times New Roman" w:cs="Arial"/>
                <w:b/>
                <w:color w:val="FFFFFF" w:themeColor="background1"/>
                <w:sz w:val="20"/>
                <w:lang w:eastAsia="en-US"/>
              </w:rPr>
              <w:t>(Gallons)</w:t>
            </w:r>
          </w:p>
        </w:tc>
        <w:tc>
          <w:tcPr>
            <w:tcW w:w="1262" w:type="pct"/>
            <w:shd w:val="clear" w:color="auto" w:fill="4F81BD" w:themeFill="accent1"/>
          </w:tcPr>
          <w:p w14:paraId="468CB6B5" w14:textId="25E7F8CC" w:rsidR="00862B2E" w:rsidRPr="003D0109" w:rsidRDefault="00862B2E" w:rsidP="00246FA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FFFFFF" w:themeColor="background1"/>
                <w:sz w:val="20"/>
                <w:lang w:eastAsia="en-US"/>
              </w:rPr>
            </w:pPr>
            <w:r w:rsidRPr="003D0109">
              <w:rPr>
                <w:rFonts w:eastAsia="Times New Roman" w:cs="Arial"/>
                <w:b/>
                <w:color w:val="FFFFFF" w:themeColor="background1"/>
                <w:sz w:val="20"/>
                <w:lang w:eastAsia="en-US"/>
              </w:rPr>
              <w:t>(Dollars)</w:t>
            </w:r>
          </w:p>
        </w:tc>
        <w:tc>
          <w:tcPr>
            <w:tcW w:w="1262" w:type="pct"/>
            <w:shd w:val="clear" w:color="auto" w:fill="4F81BD" w:themeFill="accent1"/>
            <w:noWrap/>
            <w:hideMark/>
          </w:tcPr>
          <w:p w14:paraId="15B62372" w14:textId="2E3BC8A2" w:rsidR="00862B2E" w:rsidRPr="003D0109" w:rsidRDefault="00862B2E" w:rsidP="00246FA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FFFFFF" w:themeColor="background1"/>
                <w:sz w:val="20"/>
                <w:lang w:eastAsia="en-US"/>
              </w:rPr>
            </w:pPr>
            <w:r w:rsidRPr="003D0109">
              <w:rPr>
                <w:rFonts w:eastAsia="Times New Roman" w:cs="Arial"/>
                <w:b/>
                <w:color w:val="FFFFFF" w:themeColor="background1"/>
                <w:sz w:val="20"/>
                <w:lang w:eastAsia="en-US"/>
              </w:rPr>
              <w:t>(% of Total Bill)</w:t>
            </w:r>
          </w:p>
        </w:tc>
      </w:tr>
      <w:tr w:rsidR="009C5202" w:rsidRPr="003D0109" w14:paraId="6803C784" w14:textId="77777777" w:rsidTr="0008162E">
        <w:trPr>
          <w:trHeight w:val="20"/>
        </w:trPr>
        <w:tc>
          <w:tcPr>
            <w:cnfStyle w:val="001000000000" w:firstRow="0" w:lastRow="0" w:firstColumn="1" w:lastColumn="0" w:oddVBand="0" w:evenVBand="0" w:oddHBand="0" w:evenHBand="0" w:firstRowFirstColumn="0" w:firstRowLastColumn="0" w:lastRowFirstColumn="0" w:lastRowLastColumn="0"/>
            <w:tcW w:w="0" w:type="pct"/>
            <w:noWrap/>
          </w:tcPr>
          <w:p w14:paraId="00CB680A" w14:textId="20B4904E" w:rsidR="009C5202" w:rsidRPr="003D0109" w:rsidRDefault="009C5202" w:rsidP="009C5202">
            <w:pPr>
              <w:spacing w:after="0"/>
              <w:rPr>
                <w:b w:val="0"/>
                <w:bCs w:val="0"/>
                <w:sz w:val="20"/>
                <w:lang w:eastAsia="en-US"/>
              </w:rPr>
            </w:pPr>
            <w:r w:rsidRPr="003D0109">
              <w:rPr>
                <w:b w:val="0"/>
                <w:bCs w:val="0"/>
                <w:sz w:val="20"/>
                <w:lang w:eastAsia="en-US"/>
              </w:rPr>
              <w:t>Residential</w:t>
            </w:r>
          </w:p>
        </w:tc>
        <w:tc>
          <w:tcPr>
            <w:tcW w:w="0" w:type="pct"/>
            <w:noWrap/>
          </w:tcPr>
          <w:p w14:paraId="1662FE1C" w14:textId="0A8E70B5" w:rsidR="009C5202" w:rsidRPr="009C5202" w:rsidRDefault="00BA3B55" w:rsidP="009C5202">
            <w:pPr>
              <w:spacing w:after="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Pr>
                <w:sz w:val="20"/>
                <w:szCs w:val="20"/>
              </w:rPr>
              <w:t>65.19</w:t>
            </w:r>
          </w:p>
        </w:tc>
        <w:tc>
          <w:tcPr>
            <w:tcW w:w="0" w:type="pct"/>
          </w:tcPr>
          <w:p w14:paraId="2DD975A5" w14:textId="566336FE" w:rsidR="009C5202" w:rsidRPr="009C5202" w:rsidRDefault="009C5202" w:rsidP="009C5202">
            <w:pPr>
              <w:spacing w:after="0"/>
              <w:jc w:val="cente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r w:rsidRPr="0008162E">
              <w:rPr>
                <w:sz w:val="20"/>
                <w:szCs w:val="20"/>
              </w:rPr>
              <w:t>$</w:t>
            </w:r>
            <w:r w:rsidR="00A73062">
              <w:rPr>
                <w:sz w:val="20"/>
                <w:szCs w:val="20"/>
              </w:rPr>
              <w:t>318</w:t>
            </w:r>
            <w:r w:rsidRPr="0008162E">
              <w:rPr>
                <w:sz w:val="20"/>
                <w:szCs w:val="20"/>
              </w:rPr>
              <w:t>.</w:t>
            </w:r>
            <w:r w:rsidR="00A73062">
              <w:rPr>
                <w:sz w:val="20"/>
                <w:szCs w:val="20"/>
              </w:rPr>
              <w:t>80</w:t>
            </w:r>
          </w:p>
        </w:tc>
        <w:tc>
          <w:tcPr>
            <w:tcW w:w="0" w:type="pct"/>
            <w:noWrap/>
          </w:tcPr>
          <w:p w14:paraId="1DD3F8FD" w14:textId="3B1824C2" w:rsidR="009C5202" w:rsidRPr="009C5202" w:rsidRDefault="009C5202" w:rsidP="009C5202">
            <w:pPr>
              <w:spacing w:after="0"/>
              <w:jc w:val="cente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r w:rsidRPr="0008162E">
              <w:rPr>
                <w:sz w:val="20"/>
                <w:szCs w:val="20"/>
              </w:rPr>
              <w:t>-</w:t>
            </w:r>
            <w:r w:rsidR="00A73062">
              <w:rPr>
                <w:sz w:val="20"/>
                <w:szCs w:val="20"/>
              </w:rPr>
              <w:t>11</w:t>
            </w:r>
            <w:r w:rsidRPr="0008162E">
              <w:rPr>
                <w:sz w:val="20"/>
                <w:szCs w:val="20"/>
              </w:rPr>
              <w:t>.</w:t>
            </w:r>
            <w:r w:rsidR="00A73062">
              <w:rPr>
                <w:sz w:val="20"/>
                <w:szCs w:val="20"/>
              </w:rPr>
              <w:t>20</w:t>
            </w:r>
            <w:r w:rsidRPr="0008162E">
              <w:rPr>
                <w:sz w:val="20"/>
                <w:szCs w:val="20"/>
              </w:rPr>
              <w:t>%</w:t>
            </w:r>
          </w:p>
        </w:tc>
      </w:tr>
      <w:tr w:rsidR="009C5202" w:rsidRPr="003D0109" w14:paraId="2D3B3EE8" w14:textId="77777777" w:rsidTr="0008162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pct"/>
            <w:noWrap/>
          </w:tcPr>
          <w:p w14:paraId="740A0956" w14:textId="5D36DBFE" w:rsidR="009C5202" w:rsidRPr="003D0109" w:rsidRDefault="009C5202" w:rsidP="009C5202">
            <w:pPr>
              <w:spacing w:after="0"/>
              <w:rPr>
                <w:b w:val="0"/>
                <w:bCs w:val="0"/>
                <w:sz w:val="20"/>
                <w:lang w:eastAsia="en-US"/>
              </w:rPr>
            </w:pPr>
            <w:r w:rsidRPr="003D0109">
              <w:rPr>
                <w:b w:val="0"/>
                <w:bCs w:val="0"/>
                <w:sz w:val="20"/>
                <w:lang w:eastAsia="en-US"/>
              </w:rPr>
              <w:t>Income Eligible</w:t>
            </w:r>
          </w:p>
        </w:tc>
        <w:tc>
          <w:tcPr>
            <w:tcW w:w="0" w:type="pct"/>
            <w:noWrap/>
          </w:tcPr>
          <w:p w14:paraId="40152825" w14:textId="3C56A984" w:rsidR="009C5202" w:rsidRPr="009C5202" w:rsidRDefault="00A73062" w:rsidP="009C5202">
            <w:pPr>
              <w:spacing w:after="0"/>
              <w:jc w:val="center"/>
              <w:cnfStyle w:val="000000100000" w:firstRow="0" w:lastRow="0" w:firstColumn="0" w:lastColumn="0" w:oddVBand="0" w:evenVBand="0" w:oddHBand="1" w:evenHBand="0" w:firstRowFirstColumn="0" w:firstRowLastColumn="0" w:lastRowFirstColumn="0" w:lastRowLastColumn="0"/>
              <w:rPr>
                <w:sz w:val="20"/>
                <w:szCs w:val="20"/>
                <w:lang w:eastAsia="en-US"/>
              </w:rPr>
            </w:pPr>
            <w:r>
              <w:rPr>
                <w:sz w:val="20"/>
                <w:szCs w:val="20"/>
              </w:rPr>
              <w:t>23.29</w:t>
            </w:r>
          </w:p>
        </w:tc>
        <w:tc>
          <w:tcPr>
            <w:tcW w:w="0" w:type="pct"/>
          </w:tcPr>
          <w:p w14:paraId="735BE442" w14:textId="321AFC49" w:rsidR="009C5202" w:rsidRPr="009C5202" w:rsidRDefault="009C5202" w:rsidP="009C5202">
            <w:pPr>
              <w:spacing w:after="0"/>
              <w:jc w:val="center"/>
              <w:cnfStyle w:val="000000100000" w:firstRow="0" w:lastRow="0" w:firstColumn="0" w:lastColumn="0" w:oddVBand="0" w:evenVBand="0" w:oddHBand="1" w:evenHBand="0" w:firstRowFirstColumn="0" w:firstRowLastColumn="0" w:lastRowFirstColumn="0" w:lastRowLastColumn="0"/>
              <w:rPr>
                <w:rFonts w:eastAsia="Calibri" w:cs="Calibri"/>
                <w:sz w:val="20"/>
                <w:szCs w:val="20"/>
              </w:rPr>
            </w:pPr>
            <w:r w:rsidRPr="0008162E">
              <w:rPr>
                <w:sz w:val="20"/>
                <w:szCs w:val="20"/>
              </w:rPr>
              <w:t>$</w:t>
            </w:r>
            <w:r w:rsidR="00A73062">
              <w:rPr>
                <w:sz w:val="20"/>
                <w:szCs w:val="20"/>
              </w:rPr>
              <w:t>113</w:t>
            </w:r>
            <w:r w:rsidRPr="0008162E">
              <w:rPr>
                <w:sz w:val="20"/>
                <w:szCs w:val="20"/>
              </w:rPr>
              <w:t>.</w:t>
            </w:r>
            <w:r w:rsidR="00A73062">
              <w:rPr>
                <w:sz w:val="20"/>
                <w:szCs w:val="20"/>
              </w:rPr>
              <w:t>87</w:t>
            </w:r>
          </w:p>
        </w:tc>
        <w:tc>
          <w:tcPr>
            <w:tcW w:w="0" w:type="pct"/>
            <w:noWrap/>
          </w:tcPr>
          <w:p w14:paraId="7344B0B0" w14:textId="3AB3F8CC" w:rsidR="009C5202" w:rsidRPr="009C5202" w:rsidRDefault="009C5202" w:rsidP="009C5202">
            <w:pPr>
              <w:spacing w:after="0"/>
              <w:jc w:val="center"/>
              <w:cnfStyle w:val="000000100000" w:firstRow="0" w:lastRow="0" w:firstColumn="0" w:lastColumn="0" w:oddVBand="0" w:evenVBand="0" w:oddHBand="1" w:evenHBand="0" w:firstRowFirstColumn="0" w:firstRowLastColumn="0" w:lastRowFirstColumn="0" w:lastRowLastColumn="0"/>
              <w:rPr>
                <w:sz w:val="20"/>
                <w:szCs w:val="20"/>
                <w:lang w:eastAsia="en-US"/>
              </w:rPr>
            </w:pPr>
            <w:r w:rsidRPr="0008162E">
              <w:rPr>
                <w:sz w:val="20"/>
                <w:szCs w:val="20"/>
              </w:rPr>
              <w:t>-</w:t>
            </w:r>
            <w:r w:rsidR="004F69F1">
              <w:rPr>
                <w:sz w:val="20"/>
                <w:szCs w:val="20"/>
              </w:rPr>
              <w:t>4</w:t>
            </w:r>
            <w:r w:rsidRPr="0008162E">
              <w:rPr>
                <w:sz w:val="20"/>
                <w:szCs w:val="20"/>
              </w:rPr>
              <w:t>.</w:t>
            </w:r>
            <w:r w:rsidR="004F69F1">
              <w:rPr>
                <w:sz w:val="20"/>
                <w:szCs w:val="20"/>
              </w:rPr>
              <w:t>00</w:t>
            </w:r>
            <w:r w:rsidRPr="0008162E">
              <w:rPr>
                <w:sz w:val="20"/>
                <w:szCs w:val="20"/>
              </w:rPr>
              <w:t>%</w:t>
            </w:r>
          </w:p>
        </w:tc>
      </w:tr>
    </w:tbl>
    <w:p w14:paraId="14C11552" w14:textId="77777777" w:rsidR="008A4603" w:rsidRDefault="008A4603" w:rsidP="00F22870">
      <w:pPr>
        <w:pStyle w:val="FootnoteText"/>
        <w:spacing w:after="200" w:line="276" w:lineRule="auto"/>
        <w:rPr>
          <w:rFonts w:asciiTheme="minorHAnsi" w:hAnsiTheme="minorHAnsi" w:cstheme="minorHAnsi"/>
          <w:sz w:val="22"/>
          <w:szCs w:val="22"/>
        </w:rPr>
      </w:pPr>
    </w:p>
    <w:p w14:paraId="2B04F57D" w14:textId="536DA429" w:rsidR="00382793" w:rsidRDefault="003E1B62" w:rsidP="00F22870">
      <w:pPr>
        <w:pStyle w:val="FootnoteText"/>
        <w:spacing w:after="200" w:line="276" w:lineRule="auto"/>
        <w:rPr>
          <w:rFonts w:asciiTheme="minorHAnsi" w:hAnsiTheme="minorHAnsi" w:cstheme="minorHAnsi"/>
          <w:sz w:val="22"/>
          <w:szCs w:val="22"/>
        </w:rPr>
      </w:pPr>
      <w:r>
        <w:rPr>
          <w:rFonts w:asciiTheme="minorHAnsi" w:hAnsiTheme="minorHAnsi" w:cstheme="minorHAnsi"/>
          <w:sz w:val="22"/>
          <w:szCs w:val="22"/>
        </w:rPr>
        <w:t>For electric residential and income eligible customers, the 202</w:t>
      </w:r>
      <w:r w:rsidR="004F69F1">
        <w:rPr>
          <w:rFonts w:asciiTheme="minorHAnsi" w:hAnsiTheme="minorHAnsi" w:cstheme="minorHAnsi"/>
          <w:sz w:val="22"/>
          <w:szCs w:val="22"/>
        </w:rPr>
        <w:t>4</w:t>
      </w:r>
      <w:r>
        <w:rPr>
          <w:rFonts w:asciiTheme="minorHAnsi" w:hAnsiTheme="minorHAnsi" w:cstheme="minorHAnsi"/>
          <w:sz w:val="22"/>
          <w:szCs w:val="22"/>
        </w:rPr>
        <w:t xml:space="preserve"> rate and bill impact analysis provides insights on </w:t>
      </w:r>
      <w:r w:rsidR="00832F62">
        <w:rPr>
          <w:rFonts w:asciiTheme="minorHAnsi" w:hAnsiTheme="minorHAnsi" w:cstheme="minorHAnsi"/>
          <w:sz w:val="22"/>
          <w:szCs w:val="22"/>
        </w:rPr>
        <w:t xml:space="preserve">bill savings </w:t>
      </w:r>
      <w:r w:rsidR="00B43071">
        <w:rPr>
          <w:rFonts w:asciiTheme="minorHAnsi" w:hAnsiTheme="minorHAnsi" w:cstheme="minorHAnsi"/>
          <w:sz w:val="22"/>
          <w:szCs w:val="22"/>
        </w:rPr>
        <w:t>attributable to</w:t>
      </w:r>
      <w:r w:rsidR="00832F62">
        <w:rPr>
          <w:rFonts w:asciiTheme="minorHAnsi" w:hAnsiTheme="minorHAnsi" w:cstheme="minorHAnsi"/>
          <w:sz w:val="22"/>
          <w:szCs w:val="22"/>
        </w:rPr>
        <w:t xml:space="preserve"> electric and delivered fuels energy efficiency programs. </w:t>
      </w:r>
      <w:r w:rsidR="00E17E05">
        <w:rPr>
          <w:rFonts w:asciiTheme="minorHAnsi" w:hAnsiTheme="minorHAnsi" w:cstheme="minorHAnsi"/>
          <w:sz w:val="22"/>
          <w:szCs w:val="22"/>
        </w:rPr>
        <w:t xml:space="preserve">Table 13 below illustrates the </w:t>
      </w:r>
      <w:r w:rsidR="00FA5EE3">
        <w:rPr>
          <w:rFonts w:asciiTheme="minorHAnsi" w:hAnsiTheme="minorHAnsi" w:cstheme="minorHAnsi"/>
          <w:sz w:val="22"/>
          <w:szCs w:val="22"/>
        </w:rPr>
        <w:t>average</w:t>
      </w:r>
      <w:r w:rsidR="00963F0A">
        <w:rPr>
          <w:rFonts w:asciiTheme="minorHAnsi" w:hAnsiTheme="minorHAnsi" w:cstheme="minorHAnsi"/>
          <w:sz w:val="22"/>
          <w:szCs w:val="22"/>
        </w:rPr>
        <w:t xml:space="preserve"> total energy</w:t>
      </w:r>
      <w:r w:rsidR="00E17E05">
        <w:rPr>
          <w:rFonts w:asciiTheme="minorHAnsi" w:hAnsiTheme="minorHAnsi" w:cstheme="minorHAnsi"/>
          <w:sz w:val="22"/>
          <w:szCs w:val="22"/>
        </w:rPr>
        <w:t xml:space="preserve"> </w:t>
      </w:r>
      <w:r w:rsidR="008414A8">
        <w:rPr>
          <w:rFonts w:asciiTheme="minorHAnsi" w:hAnsiTheme="minorHAnsi" w:cstheme="minorHAnsi"/>
          <w:sz w:val="22"/>
          <w:szCs w:val="22"/>
        </w:rPr>
        <w:t xml:space="preserve">bill savings </w:t>
      </w:r>
      <w:r w:rsidR="008013A8">
        <w:rPr>
          <w:rFonts w:asciiTheme="minorHAnsi" w:hAnsiTheme="minorHAnsi" w:cstheme="minorHAnsi"/>
          <w:sz w:val="22"/>
          <w:szCs w:val="22"/>
        </w:rPr>
        <w:t xml:space="preserve">over the study period </w:t>
      </w:r>
      <w:r w:rsidR="00C24F55">
        <w:rPr>
          <w:rFonts w:asciiTheme="minorHAnsi" w:hAnsiTheme="minorHAnsi" w:cstheme="minorHAnsi"/>
          <w:sz w:val="22"/>
          <w:szCs w:val="22"/>
        </w:rPr>
        <w:t xml:space="preserve">for these customers </w:t>
      </w:r>
      <w:r w:rsidR="00862B2E">
        <w:rPr>
          <w:rFonts w:asciiTheme="minorHAnsi" w:hAnsiTheme="minorHAnsi" w:cstheme="minorHAnsi"/>
          <w:sz w:val="22"/>
          <w:szCs w:val="22"/>
        </w:rPr>
        <w:t xml:space="preserve">in dollars and </w:t>
      </w:r>
      <w:r w:rsidR="00C24F55">
        <w:rPr>
          <w:rFonts w:asciiTheme="minorHAnsi" w:hAnsiTheme="minorHAnsi" w:cstheme="minorHAnsi"/>
          <w:sz w:val="22"/>
          <w:szCs w:val="22"/>
        </w:rPr>
        <w:t>as a percentage.</w:t>
      </w:r>
    </w:p>
    <w:p w14:paraId="1B141ED6" w14:textId="77777777" w:rsidR="00F25F56" w:rsidRDefault="00F25F56">
      <w:pPr>
        <w:spacing w:after="0" w:line="240" w:lineRule="auto"/>
        <w:rPr>
          <w:i/>
          <w:iCs/>
          <w:color w:val="1F497D" w:themeColor="text2"/>
          <w:sz w:val="18"/>
          <w:szCs w:val="18"/>
        </w:rPr>
      </w:pPr>
      <w:r>
        <w:br w:type="page"/>
      </w:r>
    </w:p>
    <w:p w14:paraId="04B1FFAC" w14:textId="5263314C" w:rsidR="00B43071" w:rsidRPr="00793230" w:rsidRDefault="00B43071" w:rsidP="00793230">
      <w:pPr>
        <w:pStyle w:val="Caption"/>
        <w:keepNext/>
        <w:rPr>
          <w:rFonts w:cs="Calibri"/>
          <w:color w:val="4F81BD"/>
          <w:sz w:val="20"/>
          <w:szCs w:val="20"/>
        </w:rPr>
      </w:pPr>
      <w:r w:rsidRPr="00793230">
        <w:rPr>
          <w:rFonts w:cs="Calibri"/>
          <w:color w:val="4F81BD"/>
          <w:sz w:val="20"/>
          <w:szCs w:val="20"/>
        </w:rPr>
        <w:t xml:space="preserve">Table </w:t>
      </w:r>
      <w:r w:rsidRPr="00793230">
        <w:rPr>
          <w:rFonts w:cs="Calibri"/>
          <w:color w:val="4F81BD"/>
          <w:sz w:val="20"/>
          <w:szCs w:val="20"/>
        </w:rPr>
        <w:fldChar w:fldCharType="begin"/>
      </w:r>
      <w:r w:rsidRPr="00793230">
        <w:rPr>
          <w:rFonts w:cs="Calibri"/>
          <w:color w:val="4F81BD"/>
          <w:sz w:val="20"/>
          <w:szCs w:val="20"/>
        </w:rPr>
        <w:instrText>SEQ Table \* ARABIC</w:instrText>
      </w:r>
      <w:r w:rsidRPr="00793230">
        <w:rPr>
          <w:rFonts w:cs="Calibri"/>
          <w:color w:val="4F81BD"/>
          <w:sz w:val="20"/>
          <w:szCs w:val="20"/>
        </w:rPr>
        <w:fldChar w:fldCharType="separate"/>
      </w:r>
      <w:r w:rsidR="00F573DA" w:rsidRPr="00793230">
        <w:rPr>
          <w:rFonts w:cs="Calibri"/>
          <w:color w:val="4F81BD"/>
          <w:sz w:val="20"/>
          <w:szCs w:val="20"/>
        </w:rPr>
        <w:t>13</w:t>
      </w:r>
      <w:r w:rsidRPr="00793230">
        <w:rPr>
          <w:rFonts w:cs="Calibri"/>
          <w:color w:val="4F81BD"/>
          <w:sz w:val="20"/>
          <w:szCs w:val="20"/>
        </w:rPr>
        <w:fldChar w:fldCharType="end"/>
      </w:r>
      <w:r w:rsidRPr="00793230">
        <w:rPr>
          <w:rFonts w:cs="Calibri"/>
          <w:color w:val="4F81BD"/>
          <w:sz w:val="20"/>
          <w:szCs w:val="20"/>
        </w:rPr>
        <w:t>. Residential and Income Eligible EE Participants Total Bill Savings</w:t>
      </w:r>
    </w:p>
    <w:tbl>
      <w:tblPr>
        <w:tblStyle w:val="ListTable3-Accent1"/>
        <w:tblW w:w="5000" w:type="pct"/>
        <w:tblLayout w:type="fixed"/>
        <w:tblLook w:val="04A0" w:firstRow="1" w:lastRow="0" w:firstColumn="1" w:lastColumn="0" w:noHBand="0" w:noVBand="1"/>
      </w:tblPr>
      <w:tblGrid>
        <w:gridCol w:w="2398"/>
        <w:gridCol w:w="2398"/>
        <w:gridCol w:w="2162"/>
        <w:gridCol w:w="2397"/>
      </w:tblGrid>
      <w:tr w:rsidR="00862B2E" w:rsidRPr="003D0109" w14:paraId="6DF4547F" w14:textId="77777777" w:rsidTr="0008162E">
        <w:trPr>
          <w:cnfStyle w:val="100000000000" w:firstRow="1" w:lastRow="0" w:firstColumn="0" w:lastColumn="0" w:oddVBand="0" w:evenVBand="0" w:oddHBand="0" w:evenHBand="0" w:firstRowFirstColumn="0" w:firstRowLastColumn="0" w:lastRowFirstColumn="0" w:lastRowLastColumn="0"/>
          <w:trHeight w:val="21"/>
        </w:trPr>
        <w:tc>
          <w:tcPr>
            <w:cnfStyle w:val="001000000100" w:firstRow="0" w:lastRow="0" w:firstColumn="1" w:lastColumn="0" w:oddVBand="0" w:evenVBand="0" w:oddHBand="0" w:evenHBand="0" w:firstRowFirstColumn="1" w:firstRowLastColumn="0" w:lastRowFirstColumn="0" w:lastRowLastColumn="0"/>
            <w:tcW w:w="0" w:type="pct"/>
            <w:vMerge w:val="restart"/>
            <w:tcBorders>
              <w:top w:val="nil"/>
              <w:left w:val="nil"/>
            </w:tcBorders>
            <w:noWrap/>
            <w:hideMark/>
          </w:tcPr>
          <w:p w14:paraId="698BAC99" w14:textId="77777777" w:rsidR="00862B2E" w:rsidRPr="003D0109" w:rsidRDefault="00862B2E" w:rsidP="00246FAE">
            <w:pPr>
              <w:spacing w:after="0" w:line="240" w:lineRule="auto"/>
              <w:rPr>
                <w:rFonts w:eastAsia="Times New Roman" w:cs="Arial"/>
                <w:b w:val="0"/>
                <w:sz w:val="20"/>
                <w:lang w:eastAsia="en-US"/>
              </w:rPr>
            </w:pPr>
          </w:p>
        </w:tc>
        <w:tc>
          <w:tcPr>
            <w:tcW w:w="0" w:type="pct"/>
            <w:gridSpan w:val="3"/>
          </w:tcPr>
          <w:p w14:paraId="1BD5A3A9" w14:textId="7A621742" w:rsidR="00862B2E" w:rsidRPr="003D0109" w:rsidRDefault="00FA5EE3" w:rsidP="00246F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lang w:eastAsia="en-US"/>
              </w:rPr>
            </w:pPr>
            <w:r w:rsidRPr="003D0109">
              <w:rPr>
                <w:rFonts w:eastAsia="Times New Roman" w:cs="Arial"/>
                <w:sz w:val="20"/>
                <w:lang w:eastAsia="en-US"/>
              </w:rPr>
              <w:t>Annual</w:t>
            </w:r>
            <w:r w:rsidR="00862B2E" w:rsidRPr="003D0109">
              <w:rPr>
                <w:rFonts w:eastAsia="Times New Roman" w:cs="Arial"/>
                <w:sz w:val="20"/>
                <w:lang w:eastAsia="en-US"/>
              </w:rPr>
              <w:t xml:space="preserve"> Bill Savings</w:t>
            </w:r>
          </w:p>
        </w:tc>
      </w:tr>
      <w:tr w:rsidR="00862B2E" w:rsidRPr="003D0109" w14:paraId="1B1DEE34" w14:textId="77777777" w:rsidTr="0008162E">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0" w:type="pct"/>
            <w:vMerge/>
            <w:tcBorders>
              <w:top w:val="nil"/>
              <w:left w:val="nil"/>
              <w:bottom w:val="nil"/>
            </w:tcBorders>
            <w:noWrap/>
            <w:hideMark/>
          </w:tcPr>
          <w:p w14:paraId="515A7EA0" w14:textId="77777777" w:rsidR="00862B2E" w:rsidRPr="003D0109" w:rsidRDefault="00862B2E" w:rsidP="00246FAE">
            <w:pPr>
              <w:spacing w:after="0" w:line="240" w:lineRule="auto"/>
              <w:rPr>
                <w:rFonts w:eastAsia="Times New Roman" w:cs="Arial"/>
                <w:b w:val="0"/>
                <w:sz w:val="20"/>
                <w:lang w:eastAsia="en-US"/>
              </w:rPr>
            </w:pPr>
          </w:p>
        </w:tc>
        <w:tc>
          <w:tcPr>
            <w:tcW w:w="0" w:type="pct"/>
            <w:gridSpan w:val="2"/>
            <w:shd w:val="clear" w:color="auto" w:fill="4F81BD" w:themeFill="accent1"/>
          </w:tcPr>
          <w:p w14:paraId="61E02B69" w14:textId="3B7EE2ED" w:rsidR="00862B2E" w:rsidRPr="003D0109" w:rsidRDefault="00862B2E" w:rsidP="00246FA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FFFFFF" w:themeColor="background1"/>
                <w:sz w:val="20"/>
                <w:lang w:eastAsia="en-US"/>
              </w:rPr>
            </w:pPr>
            <w:r w:rsidRPr="003D0109">
              <w:rPr>
                <w:rFonts w:eastAsia="Times New Roman" w:cs="Arial"/>
                <w:b/>
                <w:color w:val="FFFFFF" w:themeColor="background1"/>
                <w:sz w:val="20"/>
                <w:lang w:eastAsia="en-US"/>
              </w:rPr>
              <w:t>(Dollars)</w:t>
            </w:r>
          </w:p>
        </w:tc>
        <w:tc>
          <w:tcPr>
            <w:tcW w:w="0" w:type="pct"/>
            <w:shd w:val="clear" w:color="auto" w:fill="4F81BD" w:themeFill="accent1"/>
            <w:noWrap/>
            <w:hideMark/>
          </w:tcPr>
          <w:p w14:paraId="0EBD9C32" w14:textId="2382F524" w:rsidR="00862B2E" w:rsidRPr="003D0109" w:rsidRDefault="00862B2E" w:rsidP="00246FA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FFFFFF" w:themeColor="background1"/>
                <w:sz w:val="20"/>
                <w:lang w:eastAsia="en-US"/>
              </w:rPr>
            </w:pPr>
            <w:r w:rsidRPr="003D0109">
              <w:rPr>
                <w:rFonts w:eastAsia="Times New Roman" w:cs="Arial"/>
                <w:b/>
                <w:color w:val="FFFFFF" w:themeColor="background1"/>
                <w:sz w:val="20"/>
                <w:lang w:eastAsia="en-US"/>
              </w:rPr>
              <w:t xml:space="preserve">(% of Total </w:t>
            </w:r>
            <w:r w:rsidR="001064C9" w:rsidRPr="003D0109">
              <w:rPr>
                <w:rFonts w:eastAsia="Times New Roman" w:cs="Arial"/>
                <w:b/>
                <w:color w:val="FFFFFF" w:themeColor="background1"/>
                <w:sz w:val="20"/>
                <w:lang w:eastAsia="en-US"/>
              </w:rPr>
              <w:t xml:space="preserve">Energy </w:t>
            </w:r>
            <w:r w:rsidRPr="003D0109">
              <w:rPr>
                <w:rFonts w:eastAsia="Times New Roman" w:cs="Arial"/>
                <w:b/>
                <w:color w:val="FFFFFF" w:themeColor="background1"/>
                <w:sz w:val="20"/>
                <w:lang w:eastAsia="en-US"/>
              </w:rPr>
              <w:t>Bill)</w:t>
            </w:r>
          </w:p>
        </w:tc>
      </w:tr>
      <w:tr w:rsidR="00250A7C" w:rsidRPr="003D0109" w14:paraId="30893807" w14:textId="77777777" w:rsidTr="0008162E">
        <w:trPr>
          <w:trHeight w:val="21"/>
        </w:trPr>
        <w:tc>
          <w:tcPr>
            <w:cnfStyle w:val="001000000000" w:firstRow="0" w:lastRow="0" w:firstColumn="1" w:lastColumn="0" w:oddVBand="0" w:evenVBand="0" w:oddHBand="0" w:evenHBand="0" w:firstRowFirstColumn="0" w:firstRowLastColumn="0" w:lastRowFirstColumn="0" w:lastRowLastColumn="0"/>
            <w:tcW w:w="0" w:type="pct"/>
            <w:tcBorders>
              <w:top w:val="nil"/>
            </w:tcBorders>
            <w:noWrap/>
          </w:tcPr>
          <w:p w14:paraId="6647F1AB" w14:textId="77777777" w:rsidR="00250A7C" w:rsidRPr="003D0109" w:rsidRDefault="00250A7C" w:rsidP="00965407">
            <w:pPr>
              <w:spacing w:after="0"/>
              <w:rPr>
                <w:b w:val="0"/>
                <w:bCs w:val="0"/>
                <w:sz w:val="20"/>
                <w:lang w:eastAsia="en-US"/>
              </w:rPr>
            </w:pPr>
            <w:r w:rsidRPr="003D0109">
              <w:rPr>
                <w:b w:val="0"/>
                <w:bCs w:val="0"/>
                <w:sz w:val="20"/>
                <w:lang w:eastAsia="en-US"/>
              </w:rPr>
              <w:t>Residential</w:t>
            </w:r>
          </w:p>
        </w:tc>
        <w:tc>
          <w:tcPr>
            <w:tcW w:w="0" w:type="pct"/>
          </w:tcPr>
          <w:p w14:paraId="38EB7CAC" w14:textId="19823F94" w:rsidR="00250A7C" w:rsidRPr="0008162E" w:rsidRDefault="00250A7C" w:rsidP="00965407">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08162E">
              <w:rPr>
                <w:rFonts w:asciiTheme="minorHAnsi" w:hAnsiTheme="minorHAnsi" w:cstheme="minorHAnsi"/>
                <w:sz w:val="20"/>
                <w:szCs w:val="20"/>
              </w:rPr>
              <w:t>$</w:t>
            </w:r>
            <w:r w:rsidR="005515BD">
              <w:rPr>
                <w:rFonts w:asciiTheme="minorHAnsi" w:hAnsiTheme="minorHAnsi" w:cstheme="minorHAnsi"/>
                <w:sz w:val="20"/>
                <w:szCs w:val="20"/>
              </w:rPr>
              <w:t>406</w:t>
            </w:r>
            <w:r w:rsidRPr="0008162E">
              <w:rPr>
                <w:rFonts w:asciiTheme="minorHAnsi" w:hAnsiTheme="minorHAnsi" w:cstheme="minorHAnsi"/>
                <w:sz w:val="20"/>
                <w:szCs w:val="20"/>
              </w:rPr>
              <w:t>.5</w:t>
            </w:r>
            <w:r w:rsidR="005515BD">
              <w:rPr>
                <w:rFonts w:asciiTheme="minorHAnsi" w:hAnsiTheme="minorHAnsi" w:cstheme="minorHAnsi"/>
                <w:sz w:val="20"/>
                <w:szCs w:val="20"/>
              </w:rPr>
              <w:t>1</w:t>
            </w:r>
          </w:p>
        </w:tc>
        <w:tc>
          <w:tcPr>
            <w:tcW w:w="0" w:type="pct"/>
            <w:gridSpan w:val="2"/>
            <w:noWrap/>
          </w:tcPr>
          <w:p w14:paraId="673D2A36" w14:textId="68D54107" w:rsidR="00250A7C" w:rsidRPr="0008162E" w:rsidRDefault="00250A7C" w:rsidP="00965407">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08162E">
              <w:rPr>
                <w:rFonts w:asciiTheme="minorHAnsi" w:hAnsiTheme="minorHAnsi" w:cstheme="minorHAnsi"/>
                <w:sz w:val="20"/>
                <w:szCs w:val="20"/>
              </w:rPr>
              <w:t>-</w:t>
            </w:r>
            <w:r w:rsidR="005515BD">
              <w:rPr>
                <w:rFonts w:asciiTheme="minorHAnsi" w:hAnsiTheme="minorHAnsi" w:cstheme="minorHAnsi"/>
                <w:sz w:val="20"/>
                <w:szCs w:val="20"/>
              </w:rPr>
              <w:t>8</w:t>
            </w:r>
            <w:r w:rsidRPr="0008162E">
              <w:rPr>
                <w:rFonts w:asciiTheme="minorHAnsi" w:hAnsiTheme="minorHAnsi" w:cstheme="minorHAnsi"/>
                <w:sz w:val="20"/>
                <w:szCs w:val="20"/>
              </w:rPr>
              <w:t>.6</w:t>
            </w:r>
            <w:r w:rsidR="005515BD">
              <w:rPr>
                <w:rFonts w:asciiTheme="minorHAnsi" w:hAnsiTheme="minorHAnsi" w:cstheme="minorHAnsi"/>
                <w:sz w:val="20"/>
                <w:szCs w:val="20"/>
              </w:rPr>
              <w:t>5</w:t>
            </w:r>
            <w:r w:rsidRPr="0008162E">
              <w:rPr>
                <w:rFonts w:asciiTheme="minorHAnsi" w:hAnsiTheme="minorHAnsi" w:cstheme="minorHAnsi"/>
                <w:sz w:val="20"/>
                <w:szCs w:val="20"/>
              </w:rPr>
              <w:t>%</w:t>
            </w:r>
          </w:p>
        </w:tc>
      </w:tr>
      <w:tr w:rsidR="00250A7C" w:rsidRPr="003D0109" w14:paraId="7D0E759C" w14:textId="77777777" w:rsidTr="0008162E">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0" w:type="pct"/>
            <w:noWrap/>
          </w:tcPr>
          <w:p w14:paraId="1B37394A" w14:textId="77777777" w:rsidR="00250A7C" w:rsidRPr="003D0109" w:rsidRDefault="00250A7C" w:rsidP="00965407">
            <w:pPr>
              <w:spacing w:after="0"/>
              <w:rPr>
                <w:b w:val="0"/>
                <w:bCs w:val="0"/>
                <w:sz w:val="20"/>
                <w:lang w:eastAsia="en-US"/>
              </w:rPr>
            </w:pPr>
            <w:r w:rsidRPr="003D0109">
              <w:rPr>
                <w:b w:val="0"/>
                <w:bCs w:val="0"/>
                <w:sz w:val="20"/>
                <w:lang w:eastAsia="en-US"/>
              </w:rPr>
              <w:t>Income Eligible</w:t>
            </w:r>
          </w:p>
        </w:tc>
        <w:tc>
          <w:tcPr>
            <w:tcW w:w="0" w:type="pct"/>
          </w:tcPr>
          <w:p w14:paraId="4C53525D" w14:textId="48CC6B87" w:rsidR="00250A7C" w:rsidRPr="0008162E" w:rsidRDefault="00250A7C" w:rsidP="0096540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0"/>
                <w:szCs w:val="20"/>
              </w:rPr>
            </w:pPr>
            <w:r w:rsidRPr="0008162E">
              <w:rPr>
                <w:rFonts w:asciiTheme="minorHAnsi" w:hAnsiTheme="minorHAnsi" w:cstheme="minorHAnsi"/>
                <w:sz w:val="20"/>
                <w:szCs w:val="20"/>
              </w:rPr>
              <w:t>$</w:t>
            </w:r>
            <w:r w:rsidR="00482E8C">
              <w:rPr>
                <w:rFonts w:asciiTheme="minorHAnsi" w:hAnsiTheme="minorHAnsi" w:cstheme="minorHAnsi"/>
                <w:sz w:val="20"/>
                <w:szCs w:val="20"/>
              </w:rPr>
              <w:t>209</w:t>
            </w:r>
            <w:r w:rsidRPr="0008162E">
              <w:rPr>
                <w:rFonts w:asciiTheme="minorHAnsi" w:hAnsiTheme="minorHAnsi" w:cstheme="minorHAnsi"/>
                <w:sz w:val="20"/>
                <w:szCs w:val="20"/>
              </w:rPr>
              <w:t>.22</w:t>
            </w:r>
          </w:p>
        </w:tc>
        <w:tc>
          <w:tcPr>
            <w:tcW w:w="0" w:type="pct"/>
            <w:gridSpan w:val="2"/>
            <w:noWrap/>
          </w:tcPr>
          <w:p w14:paraId="297EB5BA" w14:textId="1F5E6E13" w:rsidR="00250A7C" w:rsidRPr="0008162E" w:rsidRDefault="00250A7C" w:rsidP="00965407">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0"/>
                <w:szCs w:val="20"/>
              </w:rPr>
            </w:pPr>
            <w:r w:rsidRPr="0008162E">
              <w:rPr>
                <w:rFonts w:asciiTheme="minorHAnsi" w:hAnsiTheme="minorHAnsi" w:cstheme="minorHAnsi"/>
                <w:sz w:val="20"/>
                <w:szCs w:val="20"/>
              </w:rPr>
              <w:t>-</w:t>
            </w:r>
            <w:r w:rsidR="005515BD">
              <w:rPr>
                <w:rFonts w:asciiTheme="minorHAnsi" w:hAnsiTheme="minorHAnsi" w:cstheme="minorHAnsi"/>
                <w:sz w:val="20"/>
                <w:szCs w:val="20"/>
              </w:rPr>
              <w:t>4</w:t>
            </w:r>
            <w:r w:rsidRPr="0008162E">
              <w:rPr>
                <w:rFonts w:asciiTheme="minorHAnsi" w:hAnsiTheme="minorHAnsi" w:cstheme="minorHAnsi"/>
                <w:sz w:val="20"/>
                <w:szCs w:val="20"/>
              </w:rPr>
              <w:t>.8</w:t>
            </w:r>
            <w:r w:rsidR="005515BD">
              <w:rPr>
                <w:rFonts w:asciiTheme="minorHAnsi" w:hAnsiTheme="minorHAnsi" w:cstheme="minorHAnsi"/>
                <w:sz w:val="20"/>
                <w:szCs w:val="20"/>
              </w:rPr>
              <w:t>2</w:t>
            </w:r>
            <w:r w:rsidRPr="0008162E">
              <w:rPr>
                <w:rFonts w:asciiTheme="minorHAnsi" w:hAnsiTheme="minorHAnsi" w:cstheme="minorHAnsi"/>
                <w:sz w:val="20"/>
                <w:szCs w:val="20"/>
              </w:rPr>
              <w:t>%</w:t>
            </w:r>
          </w:p>
        </w:tc>
      </w:tr>
    </w:tbl>
    <w:p w14:paraId="19B69C99" w14:textId="4F63D248" w:rsidR="00382793" w:rsidRDefault="00382793" w:rsidP="00F22870">
      <w:pPr>
        <w:pStyle w:val="FootnoteText"/>
        <w:spacing w:after="200" w:line="276" w:lineRule="auto"/>
        <w:rPr>
          <w:rFonts w:asciiTheme="minorHAnsi" w:hAnsiTheme="minorHAnsi" w:cstheme="minorHAnsi"/>
          <w:sz w:val="22"/>
          <w:szCs w:val="22"/>
        </w:rPr>
      </w:pPr>
    </w:p>
    <w:p w14:paraId="45411948" w14:textId="5C52B62E" w:rsidR="00800812" w:rsidRDefault="00526972">
      <w:pPr>
        <w:pStyle w:val="Heading1"/>
      </w:pPr>
      <w:bookmarkStart w:id="7" w:name="_Ref52392304"/>
      <w:bookmarkStart w:id="8" w:name="_Toc115442340"/>
      <w:r w:rsidRPr="00CA49BE">
        <w:t xml:space="preserve">Gas Bill </w:t>
      </w:r>
      <w:r w:rsidR="004C23A4">
        <w:t xml:space="preserve">and Rate </w:t>
      </w:r>
      <w:r w:rsidRPr="00CA49BE">
        <w:t>Impact</w:t>
      </w:r>
      <w:r w:rsidR="00800812">
        <w:t>s</w:t>
      </w:r>
      <w:bookmarkEnd w:id="7"/>
      <w:bookmarkEnd w:id="8"/>
    </w:p>
    <w:p w14:paraId="062C7540" w14:textId="0C1A5AD2" w:rsidR="00AF5D42" w:rsidRDefault="00AF5D42" w:rsidP="003917BE">
      <w:pPr>
        <w:pStyle w:val="Heading2"/>
      </w:pPr>
      <w:bookmarkStart w:id="9" w:name="_Toc115442341"/>
      <w:r>
        <w:t>Model Background</w:t>
      </w:r>
      <w:bookmarkEnd w:id="9"/>
    </w:p>
    <w:p w14:paraId="2BEE0EEE" w14:textId="6EE91F44" w:rsidR="008E16B4" w:rsidRDefault="00AF5D42" w:rsidP="00AF5D42">
      <w:r>
        <w:t>The modeling tool developed by Synapse is designed to analyze long-term rate and bill impacts from energy efficiency programs implemented over a course of three years, or one year.</w:t>
      </w:r>
      <w:r w:rsidR="006C772F">
        <w:rPr>
          <w:rStyle w:val="FootnoteReference"/>
        </w:rPr>
        <w:footnoteReference w:id="10"/>
      </w:r>
      <w:r>
        <w:t xml:space="preserve"> </w:t>
      </w:r>
      <w:r w:rsidR="00B84C58">
        <w:t>The model used in this plan provides a long</w:t>
      </w:r>
      <w:r w:rsidR="001A6AEF">
        <w:t>-</w:t>
      </w:r>
      <w:r w:rsidR="00B84C58">
        <w:t>term perspective on the impact of one year of gas energy efficiency programs compared to a counterfactual where there is no energy efficiency program</w:t>
      </w:r>
      <w:r w:rsidR="00132F8E">
        <w:t xml:space="preserve"> in that year. </w:t>
      </w:r>
      <w:r w:rsidR="00BD14A5">
        <w:t>The model considers the upward pressure on rates and bills due to the energy efficiency surcharge</w:t>
      </w:r>
      <w:r w:rsidR="00E038B2">
        <w:t xml:space="preserve"> in the first year</w:t>
      </w:r>
      <w:r w:rsidR="00BD14A5">
        <w:t>,</w:t>
      </w:r>
      <w:r w:rsidR="00052654">
        <w:t xml:space="preserve"> the upward pressure of lost revenue collection in the first year and future years in which energy efficiency measures create savings,</w:t>
      </w:r>
      <w:r w:rsidR="00BD14A5">
        <w:t xml:space="preserve"> and the downward pressure on rat</w:t>
      </w:r>
      <w:r w:rsidR="00052654">
        <w:t>e</w:t>
      </w:r>
      <w:r w:rsidR="00BD14A5">
        <w:t xml:space="preserve">s and bills due to the avoided costs </w:t>
      </w:r>
      <w:r w:rsidR="002B7296">
        <w:t xml:space="preserve">generated by </w:t>
      </w:r>
      <w:r w:rsidR="00052654">
        <w:t>those savings as they persist into the future.</w:t>
      </w:r>
      <w:r w:rsidR="008563E1">
        <w:t xml:space="preserve"> As a result of this approach,</w:t>
      </w:r>
      <w:r w:rsidR="0079265B">
        <w:t xml:space="preserve"> the calculated impacts on long-term rates are not designed to reflect the net increase or decrease to the EE charge from the prior/current EE plan.</w:t>
      </w:r>
    </w:p>
    <w:p w14:paraId="43286452" w14:textId="616C19CB" w:rsidR="00AF5D42" w:rsidRDefault="00AF5D42" w:rsidP="00AF5D42">
      <w:r>
        <w:t>For the analysis presented in this plan and section, the 202</w:t>
      </w:r>
      <w:r w:rsidR="004A1E28">
        <w:t>4</w:t>
      </w:r>
      <w:r>
        <w:t xml:space="preserve"> proposed programs are analyzed. The model assesses four categories of customers. These categories include all the programs offered in the gas portfolio:</w:t>
      </w:r>
    </w:p>
    <w:p w14:paraId="7F9D632B" w14:textId="77777777" w:rsidR="00AF5D42" w:rsidRDefault="00AF5D42" w:rsidP="00AF5D42">
      <w:pPr>
        <w:pStyle w:val="ListParagraph"/>
        <w:numPr>
          <w:ilvl w:val="0"/>
          <w:numId w:val="18"/>
        </w:numPr>
        <w:spacing w:after="160" w:line="259" w:lineRule="auto"/>
      </w:pPr>
      <w:r>
        <w:t>Residential</w:t>
      </w:r>
    </w:p>
    <w:p w14:paraId="53F27077" w14:textId="77777777" w:rsidR="00AF5D42" w:rsidRDefault="00AF5D42" w:rsidP="00AF5D42">
      <w:pPr>
        <w:pStyle w:val="ListParagraph"/>
        <w:numPr>
          <w:ilvl w:val="1"/>
          <w:numId w:val="18"/>
        </w:numPr>
        <w:spacing w:after="160" w:line="259" w:lineRule="auto"/>
      </w:pPr>
      <w:r>
        <w:t>EnergyWise</w:t>
      </w:r>
    </w:p>
    <w:p w14:paraId="16D16B36" w14:textId="77777777" w:rsidR="00AF5D42" w:rsidRDefault="00AF5D42" w:rsidP="00AF5D42">
      <w:pPr>
        <w:pStyle w:val="ListParagraph"/>
        <w:numPr>
          <w:ilvl w:val="1"/>
          <w:numId w:val="18"/>
        </w:numPr>
        <w:spacing w:after="160" w:line="259" w:lineRule="auto"/>
      </w:pPr>
      <w:r>
        <w:t>EnergyStar HVAC</w:t>
      </w:r>
    </w:p>
    <w:p w14:paraId="7B0AB242" w14:textId="77777777" w:rsidR="00AF5D42" w:rsidRDefault="26DDB823" w:rsidP="00AF5D42">
      <w:pPr>
        <w:pStyle w:val="ListParagraph"/>
        <w:numPr>
          <w:ilvl w:val="1"/>
          <w:numId w:val="18"/>
        </w:numPr>
        <w:spacing w:after="160" w:line="259" w:lineRule="auto"/>
      </w:pPr>
      <w:r>
        <w:t>EnergyWise Multi-family</w:t>
      </w:r>
    </w:p>
    <w:p w14:paraId="64657E4B" w14:textId="77777777" w:rsidR="00AF5D42" w:rsidRDefault="00AF5D42" w:rsidP="00AF5D42">
      <w:pPr>
        <w:pStyle w:val="ListParagraph"/>
        <w:numPr>
          <w:ilvl w:val="1"/>
          <w:numId w:val="18"/>
        </w:numPr>
        <w:spacing w:after="160" w:line="259" w:lineRule="auto"/>
      </w:pPr>
      <w:r>
        <w:t>Home Energy Reports</w:t>
      </w:r>
    </w:p>
    <w:p w14:paraId="24AAE7E0" w14:textId="77777777" w:rsidR="00AF5D42" w:rsidRDefault="00AF5D42" w:rsidP="00AF5D42">
      <w:pPr>
        <w:pStyle w:val="ListParagraph"/>
        <w:numPr>
          <w:ilvl w:val="1"/>
          <w:numId w:val="18"/>
        </w:numPr>
        <w:spacing w:after="160" w:line="259" w:lineRule="auto"/>
      </w:pPr>
      <w:r>
        <w:t>Residential New Construction</w:t>
      </w:r>
    </w:p>
    <w:p w14:paraId="4B8E540A" w14:textId="77777777" w:rsidR="00AF5D42" w:rsidRDefault="00AF5D42" w:rsidP="00AF5D42">
      <w:pPr>
        <w:pStyle w:val="ListParagraph"/>
        <w:numPr>
          <w:ilvl w:val="0"/>
          <w:numId w:val="18"/>
        </w:numPr>
        <w:spacing w:after="160" w:line="259" w:lineRule="auto"/>
      </w:pPr>
      <w:r>
        <w:t>Income Eligible</w:t>
      </w:r>
    </w:p>
    <w:p w14:paraId="2E3AF167" w14:textId="77777777" w:rsidR="00AF5D42" w:rsidRDefault="00AF5D42" w:rsidP="00AF5D42">
      <w:pPr>
        <w:pStyle w:val="ListParagraph"/>
        <w:numPr>
          <w:ilvl w:val="1"/>
          <w:numId w:val="18"/>
        </w:numPr>
        <w:spacing w:after="160" w:line="259" w:lineRule="auto"/>
      </w:pPr>
      <w:r>
        <w:t>Single Family</w:t>
      </w:r>
    </w:p>
    <w:p w14:paraId="264BDA3B" w14:textId="77777777" w:rsidR="00AF5D42" w:rsidRDefault="00AF5D42" w:rsidP="00AF5D42">
      <w:pPr>
        <w:pStyle w:val="ListParagraph"/>
        <w:numPr>
          <w:ilvl w:val="1"/>
          <w:numId w:val="18"/>
        </w:numPr>
        <w:spacing w:after="160" w:line="259" w:lineRule="auto"/>
      </w:pPr>
      <w:r>
        <w:t>Multi-family</w:t>
      </w:r>
    </w:p>
    <w:p w14:paraId="46FFCCCB" w14:textId="77777777" w:rsidR="00AF5D42" w:rsidRDefault="00AF5D42" w:rsidP="00AF5D42">
      <w:pPr>
        <w:pStyle w:val="ListParagraph"/>
        <w:numPr>
          <w:ilvl w:val="0"/>
          <w:numId w:val="18"/>
        </w:numPr>
        <w:spacing w:after="160" w:line="259" w:lineRule="auto"/>
      </w:pPr>
      <w:r>
        <w:t>Small Commercial and Industrial</w:t>
      </w:r>
    </w:p>
    <w:p w14:paraId="5E606CE6" w14:textId="77777777" w:rsidR="00AF5D42" w:rsidRDefault="00AF5D42" w:rsidP="00AF5D42">
      <w:pPr>
        <w:pStyle w:val="ListParagraph"/>
        <w:numPr>
          <w:ilvl w:val="1"/>
          <w:numId w:val="18"/>
        </w:numPr>
        <w:spacing w:after="160" w:line="259" w:lineRule="auto"/>
      </w:pPr>
      <w:r>
        <w:t>Small Business Direct Install</w:t>
      </w:r>
    </w:p>
    <w:p w14:paraId="343E95A3" w14:textId="77777777" w:rsidR="00AF5D42" w:rsidRDefault="00AF5D42" w:rsidP="00AF5D42">
      <w:pPr>
        <w:pStyle w:val="ListParagraph"/>
        <w:numPr>
          <w:ilvl w:val="0"/>
          <w:numId w:val="18"/>
        </w:numPr>
        <w:spacing w:after="160" w:line="259" w:lineRule="auto"/>
      </w:pPr>
      <w:r>
        <w:t>Large Commercial and Industrial</w:t>
      </w:r>
    </w:p>
    <w:p w14:paraId="5FFF5F23" w14:textId="77777777" w:rsidR="00AF5D42" w:rsidRDefault="00AF5D42" w:rsidP="00AF5D42">
      <w:pPr>
        <w:pStyle w:val="ListParagraph"/>
        <w:numPr>
          <w:ilvl w:val="1"/>
          <w:numId w:val="18"/>
        </w:numPr>
        <w:spacing w:after="160" w:line="259" w:lineRule="auto"/>
      </w:pPr>
      <w:r>
        <w:t>Commercial New Construction</w:t>
      </w:r>
    </w:p>
    <w:p w14:paraId="62F1A225" w14:textId="77777777" w:rsidR="00AF5D42" w:rsidRDefault="00AF5D42" w:rsidP="00AF5D42">
      <w:pPr>
        <w:pStyle w:val="ListParagraph"/>
        <w:numPr>
          <w:ilvl w:val="1"/>
          <w:numId w:val="18"/>
        </w:numPr>
        <w:spacing w:after="160" w:line="259" w:lineRule="auto"/>
      </w:pPr>
      <w:r>
        <w:t>Commercial Retrofit</w:t>
      </w:r>
    </w:p>
    <w:p w14:paraId="6AE65CE0" w14:textId="77777777" w:rsidR="00AF5D42" w:rsidRDefault="00AF5D42" w:rsidP="00AF5D42">
      <w:pPr>
        <w:pStyle w:val="ListParagraph"/>
        <w:numPr>
          <w:ilvl w:val="1"/>
          <w:numId w:val="18"/>
        </w:numPr>
        <w:spacing w:after="160" w:line="259" w:lineRule="auto"/>
      </w:pPr>
      <w:r>
        <w:t>Commercial Multi-family</w:t>
      </w:r>
    </w:p>
    <w:p w14:paraId="2285EBBF" w14:textId="574D5D35" w:rsidR="00AF5D42" w:rsidRDefault="00AF5D42" w:rsidP="00AF5D42">
      <w:r>
        <w:t xml:space="preserve">The model outputs of interest are the </w:t>
      </w:r>
      <w:r w:rsidR="00D75474">
        <w:t xml:space="preserve">forecast </w:t>
      </w:r>
      <w:r>
        <w:t xml:space="preserve">changes in rates and the </w:t>
      </w:r>
      <w:r w:rsidR="00D75474">
        <w:t xml:space="preserve">forecast </w:t>
      </w:r>
      <w:r>
        <w:t>changes in bills due to the proposed energy efficiency investments.</w:t>
      </w:r>
      <w:r w:rsidRPr="007C70DD">
        <w:t xml:space="preserve"> </w:t>
      </w:r>
      <w:r>
        <w:t>The model compares two scenarios: (1) a scenario in which no efficiency resources are implemented over the next three years, and (2) a scenario that reflects the proposed investments in efficiency over the same period.</w:t>
      </w:r>
    </w:p>
    <w:p w14:paraId="06B1C74C" w14:textId="77777777" w:rsidR="00AF5D42" w:rsidRDefault="00AF5D42" w:rsidP="00AF5D42">
      <w:pPr>
        <w:pStyle w:val="ListParagraph"/>
        <w:numPr>
          <w:ilvl w:val="0"/>
          <w:numId w:val="19"/>
        </w:numPr>
        <w:spacing w:line="240" w:lineRule="auto"/>
        <w:ind w:right="720"/>
        <w:contextualSpacing w:val="0"/>
      </w:pPr>
      <w:r w:rsidRPr="00ED6A2B">
        <w:rPr>
          <w:i/>
          <w:iCs/>
        </w:rPr>
        <w:t>Rate impacts</w:t>
      </w:r>
      <w:r>
        <w:t xml:space="preserve"> indicate the extent to which rates change for all customers due to utility energy efficiency programs. This includes upward pressure on rates from </w:t>
      </w:r>
      <w:r w:rsidRPr="001D3787">
        <w:t>program cost</w:t>
      </w:r>
      <w:r>
        <w:t xml:space="preserve"> and lost revenue</w:t>
      </w:r>
      <w:r w:rsidRPr="001D3787">
        <w:t xml:space="preserve"> recovery, as well as downward pressure on rates </w:t>
      </w:r>
      <w:r>
        <w:t xml:space="preserve">from </w:t>
      </w:r>
      <w:r w:rsidRPr="001D3787">
        <w:t>avoided utility system costs</w:t>
      </w:r>
      <w:r>
        <w:t>.</w:t>
      </w:r>
    </w:p>
    <w:p w14:paraId="6D3757F8" w14:textId="637F2B29" w:rsidR="00AF5D42" w:rsidRDefault="26DDB823" w:rsidP="2405B42E">
      <w:pPr>
        <w:pStyle w:val="ListParagraph"/>
        <w:numPr>
          <w:ilvl w:val="1"/>
          <w:numId w:val="19"/>
        </w:numPr>
        <w:spacing w:line="240" w:lineRule="auto"/>
        <w:ind w:right="720"/>
      </w:pPr>
      <w:r w:rsidRPr="2405B42E">
        <w:rPr>
          <w:rFonts w:ascii="Calibri-Italic" w:hAnsi="Calibri-Italic" w:cs="Calibri-Italic"/>
          <w:i/>
          <w:iCs/>
        </w:rPr>
        <w:t xml:space="preserve">Long-term rate impacts. </w:t>
      </w:r>
      <w:r>
        <w:t xml:space="preserve">The model includes all avoided costs that might exert downward pressure on rates, as well as any factors that might exert upward pressure on rates. It estimates rate impacts over the long-term to capture the full period over which the efficiency savings occur. The resulting impacts are provided in terms of annual net change in rates in dollars per therm, annual percent change in rates, and long-term net change in levelized rates over a </w:t>
      </w:r>
      <w:r w:rsidR="00B03DAC">
        <w:t>2</w:t>
      </w:r>
      <w:r w:rsidR="00BE2623">
        <w:t>5</w:t>
      </w:r>
      <w:r w:rsidR="00B03DAC">
        <w:t>-year</w:t>
      </w:r>
      <w:r>
        <w:t xml:space="preserve"> period. </w:t>
      </w:r>
    </w:p>
    <w:p w14:paraId="714110B3" w14:textId="77777777" w:rsidR="00F3207D" w:rsidRDefault="00F3207D" w:rsidP="000A0998">
      <w:pPr>
        <w:pStyle w:val="ListParagraph"/>
        <w:spacing w:line="240" w:lineRule="auto"/>
        <w:ind w:left="1440" w:right="720"/>
      </w:pPr>
    </w:p>
    <w:p w14:paraId="7F36A91F" w14:textId="49F79E82" w:rsidR="00AF5D42" w:rsidRDefault="00AF5D42" w:rsidP="00AF5D42">
      <w:pPr>
        <w:pStyle w:val="ListParagraph"/>
        <w:numPr>
          <w:ilvl w:val="0"/>
          <w:numId w:val="19"/>
        </w:numPr>
        <w:spacing w:line="240" w:lineRule="auto"/>
        <w:ind w:right="720"/>
        <w:contextualSpacing w:val="0"/>
      </w:pPr>
      <w:r w:rsidRPr="00ED6A2B">
        <w:rPr>
          <w:i/>
          <w:iCs/>
        </w:rPr>
        <w:t>Bill impacts</w:t>
      </w:r>
      <w:r>
        <w:t xml:space="preserve"> indicate the extent to which customer bills might be reduced for those customers that </w:t>
      </w:r>
      <w:r w:rsidR="00580EFF">
        <w:t>participate in</w:t>
      </w:r>
      <w:r>
        <w:t xml:space="preserve"> efficiency </w:t>
      </w:r>
      <w:r w:rsidR="00391BCE">
        <w:t>programs</w:t>
      </w:r>
      <w:r>
        <w:t xml:space="preserve"> and how bills will be impacted for non-participating customers.</w:t>
      </w:r>
    </w:p>
    <w:p w14:paraId="6F02F6FB" w14:textId="77777777" w:rsidR="00AF5D42" w:rsidRDefault="00AF5D42" w:rsidP="00AF5D42">
      <w:pPr>
        <w:pStyle w:val="ListParagraph"/>
        <w:numPr>
          <w:ilvl w:val="1"/>
          <w:numId w:val="19"/>
        </w:numPr>
        <w:spacing w:line="240" w:lineRule="auto"/>
        <w:ind w:right="720"/>
        <w:contextualSpacing w:val="0"/>
      </w:pPr>
      <w:r w:rsidRPr="00167737">
        <w:rPr>
          <w:rFonts w:ascii="Calibri-Italic" w:hAnsi="Calibri-Italic" w:cs="Calibri-Italic"/>
          <w:i/>
          <w:iCs/>
        </w:rPr>
        <w:t xml:space="preserve">Typical bill impacts. </w:t>
      </w:r>
      <w:r>
        <w:t xml:space="preserve">The model calculates average annual bill impacts for program participants, all customers, and non-participants. It considers the long-term rate impacts and energy savings for each program and the four customer types. The resulting bill impacts are </w:t>
      </w:r>
      <w:r w:rsidRPr="005C1824">
        <w:t xml:space="preserve">shown </w:t>
      </w:r>
      <w:r w:rsidRPr="00DE2750">
        <w:t>in terms of levelized long-term average dollar change in bill</w:t>
      </w:r>
      <w:r w:rsidRPr="005C1824">
        <w:t>s, net-present value of long-term dollar change in bills, and long-term average percent change in bills.</w:t>
      </w:r>
      <w:r>
        <w:t xml:space="preserve"> </w:t>
      </w:r>
    </w:p>
    <w:p w14:paraId="5FC9EA9A" w14:textId="3F65390F" w:rsidR="00AF5D42" w:rsidRDefault="00AF5D42" w:rsidP="00EA751E">
      <w:pPr>
        <w:pStyle w:val="Heading1"/>
      </w:pPr>
      <w:bookmarkStart w:id="10" w:name="_Toc115442342"/>
      <w:r>
        <w:t>Model Inputs</w:t>
      </w:r>
      <w:bookmarkEnd w:id="10"/>
    </w:p>
    <w:p w14:paraId="6039F3AE" w14:textId="4F04488D" w:rsidR="00AF5D42" w:rsidRDefault="003F2033" w:rsidP="00AF5D42">
      <w:r w:rsidRPr="00B673D0">
        <w:rPr>
          <w:rFonts w:cs="Calibri"/>
        </w:rPr>
        <w:t xml:space="preserve">For all models, the key inputs are the net planned participation and savings numbers from Table </w:t>
      </w:r>
      <w:r>
        <w:rPr>
          <w:rFonts w:cs="Calibri"/>
        </w:rPr>
        <w:t>G</w:t>
      </w:r>
      <w:r w:rsidRPr="00B673D0">
        <w:rPr>
          <w:rFonts w:cs="Calibri"/>
        </w:rPr>
        <w:t xml:space="preserve">-7 in Attachment </w:t>
      </w:r>
      <w:r>
        <w:rPr>
          <w:rFonts w:cs="Calibri"/>
        </w:rPr>
        <w:t>6</w:t>
      </w:r>
      <w:r w:rsidRPr="00B673D0">
        <w:rPr>
          <w:rFonts w:cs="Calibri"/>
        </w:rPr>
        <w:t>.</w:t>
      </w:r>
      <w:r w:rsidRPr="00B673D0">
        <w:rPr>
          <w:rStyle w:val="FootnoteReference"/>
          <w:rFonts w:cs="Calibri"/>
        </w:rPr>
        <w:footnoteReference w:id="11"/>
      </w:r>
      <w:r w:rsidRPr="00B673D0">
        <w:rPr>
          <w:rFonts w:cs="Calibri"/>
        </w:rPr>
        <w:t xml:space="preserve"> </w:t>
      </w:r>
      <w:r>
        <w:rPr>
          <w:rFonts w:cs="Calibri"/>
        </w:rPr>
        <w:t xml:space="preserve"> </w:t>
      </w:r>
      <w:r w:rsidR="00AF5D42">
        <w:t>The model takes as input the following categories of information:</w:t>
      </w:r>
    </w:p>
    <w:p w14:paraId="2A463CF8" w14:textId="4F3EB623" w:rsidR="00AF5D42" w:rsidRDefault="00AF5D42" w:rsidP="00AF5D42">
      <w:pPr>
        <w:pStyle w:val="ListParagraph"/>
        <w:numPr>
          <w:ilvl w:val="0"/>
          <w:numId w:val="20"/>
        </w:numPr>
        <w:spacing w:after="160" w:line="259" w:lineRule="auto"/>
      </w:pPr>
      <w:r>
        <w:t xml:space="preserve">Energy Efficiency </w:t>
      </w:r>
      <w:r w:rsidR="006402F6">
        <w:t>P</w:t>
      </w:r>
      <w:r>
        <w:t xml:space="preserve">rogram </w:t>
      </w:r>
      <w:r w:rsidR="006402F6">
        <w:t>S</w:t>
      </w:r>
      <w:r>
        <w:t>avings</w:t>
      </w:r>
      <w:r w:rsidR="00993A52">
        <w:t xml:space="preserve"> </w:t>
      </w:r>
      <w:r w:rsidR="006402F6">
        <w:t>(MMBTU).</w:t>
      </w:r>
      <w:r>
        <w:t xml:space="preserve"> </w:t>
      </w:r>
      <w:r w:rsidR="006402F6">
        <w:t xml:space="preserve">The </w:t>
      </w:r>
      <w:r>
        <w:t>model takes as input the planned savings for each program in both annual and lifetime savings.</w:t>
      </w:r>
    </w:p>
    <w:p w14:paraId="639DB901" w14:textId="6675A321" w:rsidR="00AF5D42" w:rsidRDefault="00AF5D42" w:rsidP="00AF5D42">
      <w:pPr>
        <w:pStyle w:val="ListParagraph"/>
        <w:numPr>
          <w:ilvl w:val="0"/>
          <w:numId w:val="20"/>
        </w:numPr>
        <w:spacing w:after="160" w:line="259" w:lineRule="auto"/>
      </w:pPr>
      <w:r>
        <w:t>Participation</w:t>
      </w:r>
      <w:r w:rsidR="00E92541">
        <w:t xml:space="preserve"> </w:t>
      </w:r>
      <w:r w:rsidR="006402F6">
        <w:t>(#).</w:t>
      </w:r>
      <w:r>
        <w:t xml:space="preserve"> </w:t>
      </w:r>
      <w:r w:rsidR="00782A19">
        <w:t>Rhode Island Energy</w:t>
      </w:r>
      <w:r>
        <w:t xml:space="preserve"> projects participation for each program across each year of the plan.</w:t>
      </w:r>
    </w:p>
    <w:p w14:paraId="34CF3D12" w14:textId="70020A31" w:rsidR="00AF5D42" w:rsidRDefault="00AF5D42" w:rsidP="00AF5D42">
      <w:pPr>
        <w:pStyle w:val="ListParagraph"/>
        <w:numPr>
          <w:ilvl w:val="0"/>
          <w:numId w:val="20"/>
        </w:numPr>
        <w:spacing w:after="160" w:line="259" w:lineRule="auto"/>
      </w:pPr>
      <w:r>
        <w:t>Avoided Costs</w:t>
      </w:r>
      <w:r w:rsidR="00E92541">
        <w:t xml:space="preserve"> </w:t>
      </w:r>
      <w:r w:rsidR="006402F6">
        <w:t>($).</w:t>
      </w:r>
      <w:r>
        <w:t xml:space="preserve"> The model takes as input the avoided cost of natural gas and natural gas demand reduction induced price effect (DRIPE) due to gas energy efficiency.</w:t>
      </w:r>
    </w:p>
    <w:p w14:paraId="0D66AFFD" w14:textId="66ECB2A3" w:rsidR="00AF5D42" w:rsidRDefault="00AF5D42" w:rsidP="00AF5D42">
      <w:pPr>
        <w:pStyle w:val="ListParagraph"/>
        <w:numPr>
          <w:ilvl w:val="1"/>
          <w:numId w:val="20"/>
        </w:numPr>
        <w:spacing w:after="160" w:line="259" w:lineRule="auto"/>
      </w:pPr>
      <w:r>
        <w:t>The portion of the natural gas avoided cost that impacts rates is limited to the avoided retail margin costs, and price suppression benefits (DRIPE</w:t>
      </w:r>
      <w:r w:rsidR="00DD06FE">
        <w:t>).</w:t>
      </w:r>
    </w:p>
    <w:p w14:paraId="4AC64DD6" w14:textId="218DF7CD" w:rsidR="00A37A1F" w:rsidRDefault="00A37A1F" w:rsidP="00AF5D42">
      <w:pPr>
        <w:pStyle w:val="ListParagraph"/>
        <w:numPr>
          <w:ilvl w:val="1"/>
          <w:numId w:val="20"/>
        </w:numPr>
        <w:spacing w:after="160" w:line="259" w:lineRule="auto"/>
      </w:pPr>
      <w:r>
        <w:t>The model has the capability to be further refined in the future if other components of avoided costs are quantified and monetized, such as gas transmission and distribution values.</w:t>
      </w:r>
      <w:r w:rsidR="00EA7FF3">
        <w:t xml:space="preserve"> Those types of costs are included in the electric bill and rate impact but are not included in the gas analysis.</w:t>
      </w:r>
    </w:p>
    <w:p w14:paraId="377A2539" w14:textId="4D5553C1" w:rsidR="00AF5D42" w:rsidRDefault="00AF5D42" w:rsidP="00AF5D42">
      <w:pPr>
        <w:pStyle w:val="ListParagraph"/>
        <w:numPr>
          <w:ilvl w:val="0"/>
          <w:numId w:val="20"/>
        </w:numPr>
        <w:spacing w:after="160" w:line="259" w:lineRule="auto"/>
      </w:pPr>
      <w:r>
        <w:t>Programmatic Costs</w:t>
      </w:r>
      <w:r w:rsidR="00D45DEE">
        <w:t xml:space="preserve"> ($).</w:t>
      </w:r>
      <w:r>
        <w:t xml:space="preserve"> The costs planned for each program are input to the model </w:t>
      </w:r>
      <w:r w:rsidR="00D45DEE">
        <w:t xml:space="preserve">on an annual basis </w:t>
      </w:r>
      <w:r>
        <w:t xml:space="preserve">based on </w:t>
      </w:r>
      <w:r w:rsidR="00782A19">
        <w:t>Rhode Island Energy</w:t>
      </w:r>
      <w:r>
        <w:t>’s budget and benefit cost analysis models.</w:t>
      </w:r>
      <w:r w:rsidR="00EA7FF3">
        <w:t xml:space="preserve"> Sector or portfolio levels costs are also included and allocated to </w:t>
      </w:r>
      <w:r w:rsidR="00504F25">
        <w:t>customer groupings proportionally to program specific costs.</w:t>
      </w:r>
    </w:p>
    <w:p w14:paraId="63F2CAE8" w14:textId="523248D7" w:rsidR="00AF5D42" w:rsidRDefault="26DDB823" w:rsidP="00AF5D42">
      <w:pPr>
        <w:pStyle w:val="ListParagraph"/>
        <w:numPr>
          <w:ilvl w:val="0"/>
          <w:numId w:val="20"/>
        </w:numPr>
        <w:spacing w:after="160" w:line="259" w:lineRule="auto"/>
      </w:pPr>
      <w:r>
        <w:t>Rates</w:t>
      </w:r>
      <w:r w:rsidR="6E8BE29E">
        <w:t xml:space="preserve"> ($/Therm)</w:t>
      </w:r>
      <w:r>
        <w:t xml:space="preserve">: Natural Gas rates for customer classes modeled: residential, income eligible, small </w:t>
      </w:r>
      <w:r w:rsidR="30B1DB82">
        <w:t xml:space="preserve">C&amp;I </w:t>
      </w:r>
      <w:r>
        <w:t xml:space="preserve">and large </w:t>
      </w:r>
      <w:r w:rsidR="30B1DB82">
        <w:t>C&amp;I</w:t>
      </w:r>
      <w:r>
        <w:t xml:space="preserve">. The </w:t>
      </w:r>
      <w:r w:rsidR="00AA050F">
        <w:t xml:space="preserve">proposed </w:t>
      </w:r>
      <w:r>
        <w:t xml:space="preserve">rates </w:t>
      </w:r>
      <w:r w:rsidR="00AA050F">
        <w:t>starting in November 2023 are used</w:t>
      </w:r>
      <w:r>
        <w:t>.</w:t>
      </w:r>
    </w:p>
    <w:p w14:paraId="15FD2262" w14:textId="33638E23" w:rsidR="00AF5D42" w:rsidRDefault="00AF5D42" w:rsidP="00AF5D42">
      <w:pPr>
        <w:pStyle w:val="ListParagraph"/>
        <w:numPr>
          <w:ilvl w:val="0"/>
          <w:numId w:val="20"/>
        </w:numPr>
        <w:spacing w:after="160" w:line="259" w:lineRule="auto"/>
      </w:pPr>
      <w:r>
        <w:t>Customer Count</w:t>
      </w:r>
      <w:r w:rsidR="00E92541">
        <w:t xml:space="preserve"> (#).</w:t>
      </w:r>
      <w:r>
        <w:t xml:space="preserve"> The latest gas customer counts as of </w:t>
      </w:r>
      <w:r w:rsidR="0034160A">
        <w:t>May</w:t>
      </w:r>
      <w:r>
        <w:t xml:space="preserve"> 202</w:t>
      </w:r>
      <w:r w:rsidR="0034160A">
        <w:t>2</w:t>
      </w:r>
      <w:r>
        <w:t xml:space="preserve"> by sector are included in the model. These customer counts are escalated out into the future based on projected growth rates.</w:t>
      </w:r>
    </w:p>
    <w:p w14:paraId="2B1CD475" w14:textId="0C5403BC" w:rsidR="00AF5D42" w:rsidRPr="002A072D" w:rsidRDefault="00AF5D42" w:rsidP="00AF5D42">
      <w:pPr>
        <w:pStyle w:val="ListParagraph"/>
        <w:numPr>
          <w:ilvl w:val="0"/>
          <w:numId w:val="20"/>
        </w:numPr>
        <w:spacing w:after="160" w:line="259" w:lineRule="auto"/>
      </w:pPr>
      <w:r>
        <w:t>Sales Forecast</w:t>
      </w:r>
      <w:r w:rsidR="00E92541">
        <w:t xml:space="preserve"> ($, </w:t>
      </w:r>
      <w:r w:rsidR="00272A25">
        <w:t>%).</w:t>
      </w:r>
      <w:r>
        <w:t xml:space="preserve"> A sales forecast </w:t>
      </w:r>
      <w:r w:rsidR="00504F25">
        <w:t>that</w:t>
      </w:r>
      <w:r>
        <w:t xml:space="preserve"> omits future natural gas energy efficiency savings is utilized in the model to properly characterize the counterfactual state of the world with no energy efficiency programs.</w:t>
      </w:r>
    </w:p>
    <w:p w14:paraId="0C0F5197" w14:textId="5393D189" w:rsidR="00AF5D42" w:rsidRDefault="00AF5D42" w:rsidP="003917BE">
      <w:pPr>
        <w:pStyle w:val="Heading2"/>
      </w:pPr>
      <w:bookmarkStart w:id="11" w:name="_Ref52397880"/>
      <w:bookmarkStart w:id="12" w:name="_Toc115442343"/>
      <w:r>
        <w:t>Summary of Results</w:t>
      </w:r>
      <w:bookmarkEnd w:id="11"/>
      <w:bookmarkEnd w:id="12"/>
    </w:p>
    <w:p w14:paraId="42B9D377" w14:textId="37BD258A" w:rsidR="00AF5D42" w:rsidRDefault="00AF5D42" w:rsidP="00AF5D42">
      <w:r>
        <w:t>The following subsections summarize the results of the rate and bill impact modeling for each of the four modeled customer segments. The overall results for the 202</w:t>
      </w:r>
      <w:r w:rsidR="00AA050F">
        <w:t>4</w:t>
      </w:r>
      <w:r w:rsidR="00FA279A">
        <w:t xml:space="preserve"> </w:t>
      </w:r>
      <w:r>
        <w:t xml:space="preserve">plan at the sector level are presented in the table below with additional detail provided in </w:t>
      </w:r>
      <w:r w:rsidR="00B22583">
        <w:t xml:space="preserve">subsections and </w:t>
      </w:r>
      <w:r>
        <w:t xml:space="preserve">figures below. This analysis projects that each modeled customer sector will see a levelized net change in long term rates of between </w:t>
      </w:r>
      <w:r w:rsidR="00A8376D">
        <w:t>0.</w:t>
      </w:r>
      <w:r w:rsidR="0008044D">
        <w:t>0</w:t>
      </w:r>
      <w:r w:rsidR="00813D9C">
        <w:t>2</w:t>
      </w:r>
      <w:r>
        <w:t xml:space="preserve">% and </w:t>
      </w:r>
      <w:r w:rsidR="00C71FF1">
        <w:t>0.</w:t>
      </w:r>
      <w:r w:rsidR="00813D9C">
        <w:t>50</w:t>
      </w:r>
      <w:r>
        <w:t>% due to the 202</w:t>
      </w:r>
      <w:r w:rsidR="00AA050F">
        <w:t>4</w:t>
      </w:r>
      <w:r>
        <w:t xml:space="preserve"> energy efficiency programs. The first</w:t>
      </w:r>
      <w:r w:rsidR="00272A25">
        <w:t>-</w:t>
      </w:r>
      <w:r>
        <w:t>year cost of the programs combined with the recovery of lost revenue put upward pressure on rates, while avoided costs as detailed earlier generate downward pressure on rates.</w:t>
      </w:r>
    </w:p>
    <w:p w14:paraId="4AD59E9C" w14:textId="26542154" w:rsidR="008B3A07" w:rsidRDefault="00AF5D42" w:rsidP="00AF5D42">
      <w:r>
        <w:t>The 202</w:t>
      </w:r>
      <w:r w:rsidR="00F83508">
        <w:t>4</w:t>
      </w:r>
      <w:r w:rsidR="00272A25">
        <w:t xml:space="preserve"> </w:t>
      </w:r>
      <w:r>
        <w:t xml:space="preserve">gas portfolio will result in long term </w:t>
      </w:r>
      <w:r w:rsidR="00135E3F">
        <w:t>average</w:t>
      </w:r>
      <w:r>
        <w:t xml:space="preserve"> bill decreases for program participants in the income eligible, small C&amp;I, and large C&amp;I sectors of between </w:t>
      </w:r>
      <w:r w:rsidR="001A57A1">
        <w:t>3.3</w:t>
      </w:r>
      <w:r>
        <w:t xml:space="preserve">% and </w:t>
      </w:r>
      <w:r w:rsidR="00707B49">
        <w:t>21.6</w:t>
      </w:r>
      <w:r>
        <w:t>%.</w:t>
      </w:r>
    </w:p>
    <w:p w14:paraId="3CCB79C0" w14:textId="4D719739" w:rsidR="00C62E9E" w:rsidRDefault="008B3A07" w:rsidP="00AF5D42">
      <w:r>
        <w:t xml:space="preserve">The residential sector is unique in that it includes the Home Energy Report (HER) program. This </w:t>
      </w:r>
      <w:r w:rsidR="00BC57F7">
        <w:t xml:space="preserve">behavioral program provides </w:t>
      </w:r>
      <w:r w:rsidR="00051DDE">
        <w:t>recommendations</w:t>
      </w:r>
      <w:r w:rsidR="00BC57F7">
        <w:t xml:space="preserve"> for residential customers to save energy by </w:t>
      </w:r>
      <w:r w:rsidR="001E4F68">
        <w:t xml:space="preserve">taking actions in their home, rather than by installing more-efficient equipment. </w:t>
      </w:r>
      <w:r w:rsidR="005367A1">
        <w:t>This results in the program having a measure life of only one year</w:t>
      </w:r>
      <w:r w:rsidR="00C62E9E">
        <w:t>, as the evaluated results show that behavioral efficiency of this type has relatively short persistence compared to other residential programs that install longer-lived measures</w:t>
      </w:r>
      <w:r w:rsidR="005367A1">
        <w:t>. The HER program also reaches nearly all residential customers</w:t>
      </w:r>
      <w:r w:rsidR="002513BB">
        <w:t xml:space="preserve"> through either mail or email</w:t>
      </w:r>
      <w:r w:rsidR="00C62E9E">
        <w:t>, meaning that nearly all residential customers are participants.</w:t>
      </w:r>
      <w:r w:rsidR="00193618">
        <w:rPr>
          <w:rStyle w:val="FootnoteReference"/>
        </w:rPr>
        <w:footnoteReference w:id="12"/>
      </w:r>
    </w:p>
    <w:p w14:paraId="6DF8E1EC" w14:textId="1B0A13FF" w:rsidR="00DE3D6D" w:rsidRDefault="00DE3D6D" w:rsidP="00AF5D42">
      <w:r>
        <w:t>It is therefore instructive to view the rate and bill impacts for the residential sector in three s</w:t>
      </w:r>
      <w:r w:rsidR="7B215816">
        <w:t>eparate modeling analyses</w:t>
      </w:r>
      <w:r>
        <w:t>:</w:t>
      </w:r>
    </w:p>
    <w:p w14:paraId="60A085B0" w14:textId="77777777" w:rsidR="00DE3D6D" w:rsidRDefault="00DE3D6D" w:rsidP="00DE3D6D">
      <w:pPr>
        <w:pStyle w:val="ListParagraph"/>
        <w:numPr>
          <w:ilvl w:val="0"/>
          <w:numId w:val="22"/>
        </w:numPr>
      </w:pPr>
      <w:r>
        <w:t>Results of the HER program in isolation</w:t>
      </w:r>
    </w:p>
    <w:p w14:paraId="3A1CEAAE" w14:textId="53F623BC" w:rsidR="002916B5" w:rsidRDefault="0204A9B3" w:rsidP="00F855F6">
      <w:pPr>
        <w:pStyle w:val="ListParagraph"/>
        <w:numPr>
          <w:ilvl w:val="0"/>
          <w:numId w:val="22"/>
        </w:numPr>
      </w:pPr>
      <w:r>
        <w:t xml:space="preserve">Results of all other </w:t>
      </w:r>
      <w:r w:rsidR="3EEC8FAC">
        <w:t>residential programs together (EnergyWise, EnergyStar HVAC, EnergyWise Multi-family, Residential New Construction)</w:t>
      </w:r>
    </w:p>
    <w:p w14:paraId="45FBC369" w14:textId="7CFF52B6" w:rsidR="002916B5" w:rsidRDefault="002916B5" w:rsidP="002916B5">
      <w:pPr>
        <w:pStyle w:val="ListParagraph"/>
        <w:numPr>
          <w:ilvl w:val="0"/>
          <w:numId w:val="22"/>
        </w:numPr>
      </w:pPr>
      <w:r>
        <w:t xml:space="preserve">Results with HER and all other residential programs </w:t>
      </w:r>
    </w:p>
    <w:p w14:paraId="1DBFC8C4" w14:textId="237C23B8" w:rsidR="0742EDBF" w:rsidRDefault="0742EDBF" w:rsidP="0946EEA4">
      <w:r>
        <w:t>It is important to note that each of these three parts of the residential sector analysis ha</w:t>
      </w:r>
      <w:r w:rsidR="00B81172">
        <w:t>ve</w:t>
      </w:r>
      <w:r>
        <w:t xml:space="preserve"> been developed using a separate instance of the gas rate and bill impacts model. In the model, the </w:t>
      </w:r>
      <w:r w:rsidR="0068310B">
        <w:t>period</w:t>
      </w:r>
      <w:r>
        <w:t xml:space="preserve"> covered by the analysis is determined by the average measure life of the longest program</w:t>
      </w:r>
      <w:r w:rsidR="00F3695C">
        <w:t xml:space="preserve"> included</w:t>
      </w:r>
      <w:r w:rsidR="0053710C">
        <w:t>. For the 202</w:t>
      </w:r>
      <w:r w:rsidR="00707B49">
        <w:t>4</w:t>
      </w:r>
      <w:r w:rsidR="0053710C">
        <w:t xml:space="preserve"> plan, th</w:t>
      </w:r>
      <w:r w:rsidR="00F96247">
        <w:t>is</w:t>
      </w:r>
      <w:r w:rsidR="00E06C87">
        <w:t xml:space="preserve"> period was determined to be</w:t>
      </w:r>
      <w:r w:rsidR="00AA3472">
        <w:t xml:space="preserve"> 2</w:t>
      </w:r>
      <w:r w:rsidR="0080242F">
        <w:t>5</w:t>
      </w:r>
      <w:r w:rsidR="00AA3472">
        <w:t xml:space="preserve"> years </w:t>
      </w:r>
      <w:r w:rsidR="00A10440">
        <w:t>due to EnergyWise</w:t>
      </w:r>
      <w:r w:rsidR="00BF4091">
        <w:t xml:space="preserve"> </w:t>
      </w:r>
      <w:r w:rsidR="0048492E">
        <w:t xml:space="preserve">having </w:t>
      </w:r>
      <w:r w:rsidR="0080242F">
        <w:t xml:space="preserve">an </w:t>
      </w:r>
      <w:r w:rsidR="0048492E">
        <w:t xml:space="preserve">average </w:t>
      </w:r>
      <w:r w:rsidR="00633D4D" w:rsidDel="0048492E">
        <w:t>measure life</w:t>
      </w:r>
      <w:r w:rsidR="00A10440" w:rsidDel="0048492E">
        <w:t xml:space="preserve"> </w:t>
      </w:r>
      <w:r w:rsidR="0048492E">
        <w:t>of</w:t>
      </w:r>
      <w:r w:rsidR="00633D4D">
        <w:t xml:space="preserve"> 2</w:t>
      </w:r>
      <w:r w:rsidR="0080242F">
        <w:t>4</w:t>
      </w:r>
      <w:r w:rsidR="00721A50">
        <w:t>-</w:t>
      </w:r>
      <w:r w:rsidR="00633D4D">
        <w:t>year</w:t>
      </w:r>
      <w:r w:rsidR="0080242F">
        <w:t>s</w:t>
      </w:r>
      <w:r w:rsidR="00633D4D">
        <w:t xml:space="preserve"> </w:t>
      </w:r>
      <w:r w:rsidR="00E06C87">
        <w:t>plus</w:t>
      </w:r>
      <w:r w:rsidR="00A10440">
        <w:t xml:space="preserve"> the inclusion of </w:t>
      </w:r>
      <w:r w:rsidR="006A505E">
        <w:t xml:space="preserve">an </w:t>
      </w:r>
      <w:r w:rsidR="00A10440">
        <w:t>additional buffer</w:t>
      </w:r>
      <w:r w:rsidR="006A505E">
        <w:t xml:space="preserve"> year</w:t>
      </w:r>
      <w:r>
        <w:t xml:space="preserve">. </w:t>
      </w:r>
      <w:r w:rsidR="00A823D5" w:rsidRPr="00A823D5">
        <w:t>The same value of 2</w:t>
      </w:r>
      <w:r w:rsidR="00FB3BD9">
        <w:t>5</w:t>
      </w:r>
      <w:r w:rsidR="00A823D5" w:rsidRPr="00A823D5">
        <w:t xml:space="preserve"> years is applied to each sector and each program within a sector. This is not to suggest that all measures have a measure life of 2</w:t>
      </w:r>
      <w:r w:rsidR="00C377CC">
        <w:t>4</w:t>
      </w:r>
      <w:r w:rsidR="00A823D5" w:rsidRPr="00A823D5">
        <w:t xml:space="preserve"> years. Each measure has its own measure life assumption. However, as the study period assumption is applied to all programs, a period is selected that is long enough to capture all the savings from all measures in all sectors.</w:t>
      </w:r>
      <w:r>
        <w:t xml:space="preserve"> Consequently, the model instance analyzing the Home Energy Report program in isolation</w:t>
      </w:r>
      <w:r w:rsidR="009B0AF9">
        <w:t xml:space="preserve"> models savings only over one year (</w:t>
      </w:r>
      <w:r>
        <w:t xml:space="preserve">a much shorter </w:t>
      </w:r>
      <w:r w:rsidR="005052E2">
        <w:t>period</w:t>
      </w:r>
      <w:r w:rsidR="001D262E">
        <w:t xml:space="preserve"> compared to</w:t>
      </w:r>
      <w:r>
        <w:t xml:space="preserve"> the other two model instances</w:t>
      </w:r>
      <w:r w:rsidR="00721A50">
        <w:t xml:space="preserve"> as mentioned earlier</w:t>
      </w:r>
      <w:r w:rsidR="009B0AF9">
        <w:t>)</w:t>
      </w:r>
      <w:r w:rsidR="00356A02">
        <w:t>. Therefore, the</w:t>
      </w:r>
      <w:r>
        <w:t xml:space="preserve"> three instances are not directly comparable</w:t>
      </w:r>
      <w:r w:rsidR="264C9373">
        <w:t>,</w:t>
      </w:r>
      <w:r w:rsidR="264C9373" w:rsidRPr="0946EEA4">
        <w:rPr>
          <w:rFonts w:eastAsia="Calibri" w:cs="Calibri"/>
        </w:rPr>
        <w:t xml:space="preserve"> and the first two model instances do not additively result in the third instance.</w:t>
      </w:r>
    </w:p>
    <w:p w14:paraId="603FDF17" w14:textId="49B10268" w:rsidR="474F9202" w:rsidRDefault="474F9202">
      <w:r w:rsidRPr="0946EEA4">
        <w:rPr>
          <w:rFonts w:eastAsia="Calibri" w:cs="Calibri"/>
        </w:rPr>
        <w:t>Additionally, in the model instance that assesses all programs together, HER participants incur costs associated with the non-HER programs, such as lost revenue recovery. These costs are not captured in the model instance analyzing the Home Energy Report program in isolation.</w:t>
      </w:r>
    </w:p>
    <w:p w14:paraId="30A9C9E9" w14:textId="3736D3F1" w:rsidR="000A4D45" w:rsidRDefault="00E508B5" w:rsidP="002916B5">
      <w:r>
        <w:t xml:space="preserve">The HER program in isolation shows essentially no </w:t>
      </w:r>
      <w:r w:rsidR="001E4A0B">
        <w:t xml:space="preserve">reduction </w:t>
      </w:r>
      <w:r>
        <w:t>in bills for participants (</w:t>
      </w:r>
      <w:r w:rsidR="00C40689">
        <w:t>0.0</w:t>
      </w:r>
      <w:r w:rsidR="001E4A0B">
        <w:t>2</w:t>
      </w:r>
      <w:r>
        <w:t>%)</w:t>
      </w:r>
      <w:r w:rsidR="002B5727">
        <w:t xml:space="preserve"> and</w:t>
      </w:r>
      <w:r>
        <w:t xml:space="preserve"> average customers (</w:t>
      </w:r>
      <w:r w:rsidR="00C40689">
        <w:t>0.0</w:t>
      </w:r>
      <w:r w:rsidR="00BC264C">
        <w:t>03</w:t>
      </w:r>
      <w:r>
        <w:t>%)</w:t>
      </w:r>
      <w:r w:rsidR="002B5727">
        <w:t>, and a small increase for</w:t>
      </w:r>
      <w:r>
        <w:t xml:space="preserve"> non-participants (</w:t>
      </w:r>
      <w:r w:rsidR="00DB4511">
        <w:t>0.</w:t>
      </w:r>
      <w:r w:rsidR="00FB467C">
        <w:t>01</w:t>
      </w:r>
      <w:r>
        <w:t>%).</w:t>
      </w:r>
      <w:r w:rsidR="006763DF">
        <w:t xml:space="preserve"> This is to be expected because the number of participants is high enough that the per-participant savings </w:t>
      </w:r>
      <w:r w:rsidR="000A4D45">
        <w:t xml:space="preserve">is less than </w:t>
      </w:r>
      <w:r w:rsidR="00DB4511">
        <w:t>1</w:t>
      </w:r>
      <w:r w:rsidR="000A4D45">
        <w:t xml:space="preserve"> net MMBtu per participant, resulting in minimal change</w:t>
      </w:r>
      <w:r w:rsidR="005A1E4D">
        <w:t xml:space="preserve"> to bills</w:t>
      </w:r>
      <w:r w:rsidR="000A4D45">
        <w:t xml:space="preserve">. Taken at the individual level, </w:t>
      </w:r>
      <w:r w:rsidR="0019741C">
        <w:t>the savings</w:t>
      </w:r>
      <w:r w:rsidR="000A4D45">
        <w:t xml:space="preserve"> results are modest, </w:t>
      </w:r>
      <w:r w:rsidR="0019741C">
        <w:t>however</w:t>
      </w:r>
      <w:r w:rsidR="000A4D45">
        <w:t xml:space="preserve"> in aggregate</w:t>
      </w:r>
      <w:r w:rsidR="006C15A2">
        <w:t xml:space="preserve"> the</w:t>
      </w:r>
      <w:r w:rsidR="000A4D45">
        <w:t xml:space="preserve"> HER program </w:t>
      </w:r>
      <w:r w:rsidR="0019741C">
        <w:t xml:space="preserve">generates significant net annual savings </w:t>
      </w:r>
      <w:r w:rsidR="00395261">
        <w:t>by reaching most residential customers</w:t>
      </w:r>
      <w:r w:rsidR="00A26483">
        <w:t xml:space="preserve"> and doing so at relatively low cost</w:t>
      </w:r>
      <w:r w:rsidR="00395261">
        <w:t>.</w:t>
      </w:r>
    </w:p>
    <w:p w14:paraId="12D4A1C0" w14:textId="3401032A" w:rsidR="00080962" w:rsidRDefault="000A4D45" w:rsidP="002916B5">
      <w:r>
        <w:t>When the remaining four residential programs are assessed together</w:t>
      </w:r>
      <w:r w:rsidR="00581145">
        <w:t xml:space="preserve"> (excluding HERs)</w:t>
      </w:r>
      <w:r w:rsidR="0019741C">
        <w:t xml:space="preserve">, the results show </w:t>
      </w:r>
      <w:r w:rsidR="00FB5DCE">
        <w:t xml:space="preserve">that participants see an average reduction of </w:t>
      </w:r>
      <w:r w:rsidR="00037633">
        <w:t>5</w:t>
      </w:r>
      <w:r w:rsidR="001820B2">
        <w:t>.</w:t>
      </w:r>
      <w:r w:rsidR="003563E6">
        <w:t>24</w:t>
      </w:r>
      <w:r w:rsidR="00A13C16">
        <w:t xml:space="preserve">% on their bills over the long term, while average customers see a </w:t>
      </w:r>
      <w:r w:rsidR="001820B2">
        <w:t>0.</w:t>
      </w:r>
      <w:r w:rsidR="003563E6">
        <w:t>14</w:t>
      </w:r>
      <w:r w:rsidR="004E4A63">
        <w:t xml:space="preserve">% </w:t>
      </w:r>
      <w:r w:rsidR="00A13C16">
        <w:t xml:space="preserve">increase, and non-participants see an increase of </w:t>
      </w:r>
      <w:r w:rsidR="001820B2">
        <w:t>0.3</w:t>
      </w:r>
      <w:r w:rsidR="003563E6">
        <w:t>4</w:t>
      </w:r>
      <w:r w:rsidR="00A13C16">
        <w:t>%.</w:t>
      </w:r>
      <w:r w:rsidR="00C47C76">
        <w:t xml:space="preserve"> The EnergyWise, EnergyStar HVAC, EnergyWise Multifamily, and Residential New Construction programs </w:t>
      </w:r>
      <w:r w:rsidR="0080158F">
        <w:t xml:space="preserve">have fewer participants than the </w:t>
      </w:r>
      <w:r w:rsidR="00E70C10">
        <w:t xml:space="preserve">HERs program, have longer-lived </w:t>
      </w:r>
      <w:r w:rsidR="00A134CF">
        <w:t>average measure lives (between 1</w:t>
      </w:r>
      <w:r w:rsidR="00B52B1E">
        <w:t>8</w:t>
      </w:r>
      <w:r w:rsidR="00A134CF">
        <w:t xml:space="preserve"> and 2</w:t>
      </w:r>
      <w:r w:rsidR="00B52B1E">
        <w:t>4</w:t>
      </w:r>
      <w:r w:rsidR="00A134CF">
        <w:t xml:space="preserve"> years), and </w:t>
      </w:r>
      <w:r w:rsidR="00E7039D">
        <w:t>generate deeper savings per participant than the HER program</w:t>
      </w:r>
      <w:r w:rsidR="00080962">
        <w:t>, all resulting in deeper bill savings for participants.</w:t>
      </w:r>
    </w:p>
    <w:p w14:paraId="15504625" w14:textId="0037DE63" w:rsidR="00923E91" w:rsidRDefault="00080962" w:rsidP="006B24DB">
      <w:r>
        <w:t>Lastly, when all residential programs are modeled together (HER, EnergyWise, EnergyStar HVAC, EnergyWise Multifamily, Residential New Construction)</w:t>
      </w:r>
      <w:r w:rsidR="001E443D">
        <w:t>, the modeling shows</w:t>
      </w:r>
      <w:r w:rsidR="007A7159">
        <w:t xml:space="preserve"> participants realizing</w:t>
      </w:r>
      <w:r w:rsidR="00C71FF1">
        <w:t xml:space="preserve"> a</w:t>
      </w:r>
      <w:r w:rsidR="007A7159">
        <w:t xml:space="preserve"> slight </w:t>
      </w:r>
      <w:r w:rsidR="006A4FF4">
        <w:t>decrease</w:t>
      </w:r>
      <w:r w:rsidR="00DE3071">
        <w:t xml:space="preserve"> of </w:t>
      </w:r>
      <w:r w:rsidR="00E34989">
        <w:t>0.0</w:t>
      </w:r>
      <w:r w:rsidR="00276B99">
        <w:t>2</w:t>
      </w:r>
      <w:r w:rsidR="00F410CE" w:rsidRPr="00DE3071">
        <w:t xml:space="preserve">% </w:t>
      </w:r>
      <w:r w:rsidR="007E549E">
        <w:t>in their long</w:t>
      </w:r>
      <w:r w:rsidR="00B90ABC">
        <w:t>-</w:t>
      </w:r>
      <w:r w:rsidR="007E549E">
        <w:t>term bills.</w:t>
      </w:r>
      <w:r w:rsidR="001E443D">
        <w:t xml:space="preserve"> </w:t>
      </w:r>
      <w:r w:rsidR="007E549E">
        <w:t>This result</w:t>
      </w:r>
      <w:r w:rsidR="00307D61">
        <w:t xml:space="preserve"> is a </w:t>
      </w:r>
      <w:r w:rsidR="007E12C0">
        <w:t>by</w:t>
      </w:r>
      <w:r w:rsidR="00307D61">
        <w:t xml:space="preserve">product of the way that the model considers participants for </w:t>
      </w:r>
      <w:r w:rsidR="00F10810">
        <w:t>the residential sector</w:t>
      </w:r>
      <w:r w:rsidR="00307D61">
        <w:t xml:space="preserve"> when all</w:t>
      </w:r>
      <w:r w:rsidR="0068544C">
        <w:t xml:space="preserve"> residential</w:t>
      </w:r>
      <w:r w:rsidR="00307D61">
        <w:t xml:space="preserve"> programs are considered together</w:t>
      </w:r>
      <w:r w:rsidR="007A4B46">
        <w:t xml:space="preserve">. </w:t>
      </w:r>
      <w:r w:rsidR="007E12C0">
        <w:t xml:space="preserve">To calculate impacts for total participants, the model considers </w:t>
      </w:r>
      <w:r w:rsidR="0072426D">
        <w:t>the</w:t>
      </w:r>
      <w:r w:rsidR="007E12C0">
        <w:t xml:space="preserve"> count of participants </w:t>
      </w:r>
      <w:r w:rsidR="009D087A">
        <w:t>in the first year</w:t>
      </w:r>
      <w:r w:rsidR="0072426D">
        <w:t xml:space="preserve">, </w:t>
      </w:r>
      <w:r w:rsidR="00291302">
        <w:t xml:space="preserve">which </w:t>
      </w:r>
      <w:r w:rsidR="00194C13">
        <w:t xml:space="preserve">involves </w:t>
      </w:r>
      <w:r w:rsidR="0072426D">
        <w:t>including the large pool of HER participants,</w:t>
      </w:r>
      <w:r w:rsidR="009D087A">
        <w:t xml:space="preserve"> </w:t>
      </w:r>
      <w:r w:rsidR="007E12C0">
        <w:t>through the duration of the modeling period (2</w:t>
      </w:r>
      <w:r w:rsidR="00F53F6A">
        <w:t>5</w:t>
      </w:r>
      <w:r w:rsidR="007E12C0">
        <w:t xml:space="preserve"> years)</w:t>
      </w:r>
      <w:r w:rsidR="003628BA">
        <w:t xml:space="preserve">. The savings for </w:t>
      </w:r>
      <w:r w:rsidR="0068310B">
        <w:t>all</w:t>
      </w:r>
      <w:r w:rsidR="003628BA">
        <w:t xml:space="preserve"> the residential programs are therefore spread across a large group of participants</w:t>
      </w:r>
      <w:r w:rsidR="001D0716">
        <w:t>,</w:t>
      </w:r>
      <w:r w:rsidR="00923E91">
        <w:t xml:space="preserve"> minimizing their </w:t>
      </w:r>
      <w:r w:rsidR="005052E2">
        <w:t>impact,</w:t>
      </w:r>
      <w:r w:rsidR="0068310B">
        <w:t xml:space="preserve"> and</w:t>
      </w:r>
      <w:r w:rsidR="00A76627">
        <w:t xml:space="preserve"> resulting in a conservative assessment of participants’ bill impacts</w:t>
      </w:r>
      <w:r w:rsidR="00923E91">
        <w:t>.</w:t>
      </w:r>
      <w:r w:rsidR="006B24DB">
        <w:t xml:space="preserve"> </w:t>
      </w:r>
    </w:p>
    <w:p w14:paraId="2031E481" w14:textId="65F7FD52" w:rsidR="00923E91" w:rsidRPr="009C5B9A" w:rsidRDefault="00923E91" w:rsidP="002916B5">
      <w:r>
        <w:t>Because of the truly unique nature of the HER program</w:t>
      </w:r>
      <w:r w:rsidR="009F4EEF">
        <w:t xml:space="preserve"> in terms of its measure life, distribution to most customers, </w:t>
      </w:r>
      <w:r w:rsidR="00DB0898">
        <w:t>and relatively small per-customer savings</w:t>
      </w:r>
      <w:r>
        <w:t xml:space="preserve"> relative to other residential programs, </w:t>
      </w:r>
      <w:r w:rsidR="008C21C3">
        <w:t xml:space="preserve">the </w:t>
      </w:r>
      <w:r w:rsidR="008C21C3" w:rsidRPr="009C5B9A">
        <w:t>Company believes that in the context of this analysis</w:t>
      </w:r>
      <w:r w:rsidRPr="009C5B9A">
        <w:t xml:space="preserve"> </w:t>
      </w:r>
      <w:r w:rsidR="008C21C3" w:rsidRPr="009C5B9A">
        <w:t xml:space="preserve">it is </w:t>
      </w:r>
      <w:r w:rsidR="00234CF2" w:rsidRPr="009C5B9A">
        <w:t>also</w:t>
      </w:r>
      <w:r w:rsidRPr="009C5B9A">
        <w:t xml:space="preserve"> appropriate to consider the </w:t>
      </w:r>
      <w:r w:rsidR="009F4EEF" w:rsidRPr="009C5B9A">
        <w:t xml:space="preserve">results of the HER program in isolation from the remaining </w:t>
      </w:r>
      <w:r w:rsidR="00DB0898" w:rsidRPr="009C5B9A">
        <w:t xml:space="preserve">four residential programs. </w:t>
      </w:r>
      <w:r w:rsidR="700426C7" w:rsidRPr="009C5B9A">
        <w:t>Therefore, the residential programs are modeled with three separate modeling instance</w:t>
      </w:r>
      <w:r w:rsidR="005E7038" w:rsidRPr="009C5B9A">
        <w:t>s</w:t>
      </w:r>
      <w:r w:rsidR="00A642DF" w:rsidRPr="009C5B9A">
        <w:t xml:space="preserve"> as shown below.</w:t>
      </w:r>
    </w:p>
    <w:p w14:paraId="5CAD6AF5" w14:textId="75B7520A" w:rsidR="00C560D2" w:rsidRDefault="00C560D2">
      <w:pPr>
        <w:spacing w:after="0" w:line="240" w:lineRule="auto"/>
        <w:rPr>
          <w:i/>
          <w:iCs/>
          <w:color w:val="1F497D" w:themeColor="text2"/>
          <w:sz w:val="18"/>
          <w:szCs w:val="18"/>
        </w:rPr>
      </w:pPr>
    </w:p>
    <w:p w14:paraId="03643328" w14:textId="2D46569F" w:rsidR="00AF5D42" w:rsidRPr="009C5B9A" w:rsidRDefault="00AF5D42" w:rsidP="00AF5D42">
      <w:pPr>
        <w:pStyle w:val="Caption"/>
        <w:keepNext/>
      </w:pPr>
      <w:r w:rsidRPr="009C5B9A">
        <w:t>T</w:t>
      </w:r>
      <w:r w:rsidRPr="00793230">
        <w:rPr>
          <w:rFonts w:cs="Calibri"/>
          <w:color w:val="4F81BD"/>
          <w:sz w:val="20"/>
          <w:szCs w:val="20"/>
        </w:rPr>
        <w:t xml:space="preserve">able </w:t>
      </w:r>
      <w:r w:rsidRPr="00793230">
        <w:rPr>
          <w:rFonts w:cs="Calibri"/>
          <w:color w:val="4F81BD"/>
          <w:sz w:val="20"/>
          <w:szCs w:val="20"/>
        </w:rPr>
        <w:fldChar w:fldCharType="begin"/>
      </w:r>
      <w:r w:rsidRPr="00793230">
        <w:rPr>
          <w:rFonts w:cs="Calibri"/>
          <w:color w:val="4F81BD"/>
          <w:sz w:val="20"/>
          <w:szCs w:val="20"/>
        </w:rPr>
        <w:instrText xml:space="preserve"> SEQ Table \* ARABIC </w:instrText>
      </w:r>
      <w:r w:rsidRPr="00793230">
        <w:rPr>
          <w:rFonts w:cs="Calibri"/>
          <w:color w:val="4F81BD"/>
          <w:sz w:val="20"/>
          <w:szCs w:val="20"/>
        </w:rPr>
        <w:fldChar w:fldCharType="separate"/>
      </w:r>
      <w:r w:rsidR="00F573DA" w:rsidRPr="00793230">
        <w:rPr>
          <w:rFonts w:cs="Calibri"/>
          <w:color w:val="4F81BD"/>
          <w:sz w:val="20"/>
          <w:szCs w:val="20"/>
        </w:rPr>
        <w:t>14</w:t>
      </w:r>
      <w:r w:rsidRPr="00793230">
        <w:rPr>
          <w:rFonts w:cs="Calibri"/>
          <w:color w:val="4F81BD"/>
          <w:sz w:val="20"/>
          <w:szCs w:val="20"/>
        </w:rPr>
        <w:fldChar w:fldCharType="end"/>
      </w:r>
      <w:r w:rsidRPr="00793230">
        <w:rPr>
          <w:rFonts w:cs="Calibri"/>
          <w:color w:val="4F81BD"/>
          <w:sz w:val="20"/>
          <w:szCs w:val="20"/>
        </w:rPr>
        <w:t>. Summary of Rate and Bill Changes due to the 202</w:t>
      </w:r>
      <w:r w:rsidR="0059302D">
        <w:rPr>
          <w:rFonts w:cs="Calibri"/>
          <w:color w:val="4F81BD"/>
          <w:sz w:val="20"/>
          <w:szCs w:val="20"/>
        </w:rPr>
        <w:t>4</w:t>
      </w:r>
      <w:r w:rsidRPr="00793230">
        <w:rPr>
          <w:rFonts w:cs="Calibri"/>
          <w:color w:val="4F81BD"/>
          <w:sz w:val="20"/>
          <w:szCs w:val="20"/>
        </w:rPr>
        <w:t xml:space="preserve"> Proposed Natural Gas Energy Efficiency Portfolio</w:t>
      </w:r>
      <w:r w:rsidR="00D37674" w:rsidRPr="00793230">
        <w:rPr>
          <w:rFonts w:cs="Calibri"/>
          <w:color w:val="4F81BD"/>
          <w:sz w:val="20"/>
          <w:szCs w:val="20"/>
          <w:vertAlign w:val="superscript"/>
        </w:rPr>
        <w:footnoteReference w:id="13"/>
      </w:r>
    </w:p>
    <w:tbl>
      <w:tblPr>
        <w:tblStyle w:val="ListTable3-Accent1"/>
        <w:tblW w:w="0" w:type="auto"/>
        <w:tblLook w:val="04A0" w:firstRow="1" w:lastRow="0" w:firstColumn="1" w:lastColumn="0" w:noHBand="0" w:noVBand="1"/>
      </w:tblPr>
      <w:tblGrid>
        <w:gridCol w:w="3415"/>
        <w:gridCol w:w="1440"/>
        <w:gridCol w:w="1498"/>
        <w:gridCol w:w="1498"/>
        <w:gridCol w:w="1499"/>
      </w:tblGrid>
      <w:tr w:rsidR="00AF5D42" w:rsidRPr="009C5B9A" w14:paraId="271EEF21" w14:textId="77777777" w:rsidTr="003D010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15" w:type="dxa"/>
            <w:vMerge w:val="restart"/>
            <w:hideMark/>
          </w:tcPr>
          <w:p w14:paraId="360B3B68" w14:textId="77777777" w:rsidR="00AF5D42" w:rsidRPr="003D0109" w:rsidRDefault="00AF5D42" w:rsidP="00BD1990">
            <w:pPr>
              <w:spacing w:after="0"/>
              <w:jc w:val="center"/>
              <w:rPr>
                <w:b w:val="0"/>
                <w:sz w:val="20"/>
                <w:szCs w:val="20"/>
              </w:rPr>
            </w:pPr>
            <w:r w:rsidRPr="003D0109">
              <w:rPr>
                <w:sz w:val="20"/>
                <w:szCs w:val="20"/>
              </w:rPr>
              <w:t>Sector</w:t>
            </w:r>
          </w:p>
        </w:tc>
        <w:tc>
          <w:tcPr>
            <w:tcW w:w="1440" w:type="dxa"/>
            <w:vMerge w:val="restart"/>
            <w:hideMark/>
          </w:tcPr>
          <w:p w14:paraId="67F2CF42" w14:textId="07A13F85" w:rsidR="00AF5D42" w:rsidRPr="003D0109" w:rsidRDefault="00AF5D42" w:rsidP="00BD1990">
            <w:pPr>
              <w:spacing w:after="0"/>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3D0109">
              <w:rPr>
                <w:sz w:val="20"/>
                <w:szCs w:val="20"/>
              </w:rPr>
              <w:t>Levelized net change in rates due to 202</w:t>
            </w:r>
            <w:r w:rsidR="00C610CB">
              <w:rPr>
                <w:sz w:val="20"/>
                <w:szCs w:val="20"/>
              </w:rPr>
              <w:t>4</w:t>
            </w:r>
            <w:r w:rsidRPr="003D0109">
              <w:rPr>
                <w:sz w:val="20"/>
                <w:szCs w:val="20"/>
              </w:rPr>
              <w:t xml:space="preserve"> Programs</w:t>
            </w:r>
          </w:p>
        </w:tc>
        <w:tc>
          <w:tcPr>
            <w:tcW w:w="4495" w:type="dxa"/>
            <w:gridSpan w:val="3"/>
            <w:hideMark/>
          </w:tcPr>
          <w:p w14:paraId="690605F1" w14:textId="77777777" w:rsidR="00AF5D42" w:rsidRPr="003D0109" w:rsidRDefault="00AF5D42" w:rsidP="00BD1990">
            <w:pPr>
              <w:spacing w:after="0"/>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3D0109">
              <w:rPr>
                <w:sz w:val="20"/>
                <w:szCs w:val="20"/>
              </w:rPr>
              <w:t>Long Term Average Change in Bills</w:t>
            </w:r>
          </w:p>
        </w:tc>
      </w:tr>
      <w:tr w:rsidR="00AF5D42" w:rsidRPr="009C5B9A" w14:paraId="4BC853C1" w14:textId="77777777" w:rsidTr="003D01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vMerge/>
            <w:hideMark/>
          </w:tcPr>
          <w:p w14:paraId="68C89323" w14:textId="77777777" w:rsidR="00AF5D42" w:rsidRPr="003D0109" w:rsidRDefault="00AF5D42" w:rsidP="00BD1990">
            <w:pPr>
              <w:spacing w:after="0"/>
              <w:rPr>
                <w:b w:val="0"/>
                <w:sz w:val="20"/>
                <w:szCs w:val="20"/>
              </w:rPr>
            </w:pPr>
          </w:p>
        </w:tc>
        <w:tc>
          <w:tcPr>
            <w:tcW w:w="1440" w:type="dxa"/>
            <w:vMerge/>
            <w:hideMark/>
          </w:tcPr>
          <w:p w14:paraId="71C190DC" w14:textId="77777777" w:rsidR="00AF5D42" w:rsidRPr="003D0109" w:rsidRDefault="00AF5D42" w:rsidP="00BD1990">
            <w:pPr>
              <w:spacing w:after="0"/>
              <w:cnfStyle w:val="000000100000" w:firstRow="0" w:lastRow="0" w:firstColumn="0" w:lastColumn="0" w:oddVBand="0" w:evenVBand="0" w:oddHBand="1" w:evenHBand="0" w:firstRowFirstColumn="0" w:firstRowLastColumn="0" w:lastRowFirstColumn="0" w:lastRowLastColumn="0"/>
              <w:rPr>
                <w:b/>
                <w:sz w:val="20"/>
                <w:szCs w:val="20"/>
              </w:rPr>
            </w:pPr>
          </w:p>
        </w:tc>
        <w:tc>
          <w:tcPr>
            <w:tcW w:w="1498" w:type="dxa"/>
            <w:shd w:val="clear" w:color="auto" w:fill="4F81BD" w:themeFill="accent1"/>
            <w:hideMark/>
          </w:tcPr>
          <w:p w14:paraId="29DF3E63" w14:textId="77777777" w:rsidR="00AF5D42" w:rsidRPr="003D0109" w:rsidRDefault="00AF5D42" w:rsidP="00BD1990">
            <w:pPr>
              <w:spacing w:after="0"/>
              <w:jc w:val="center"/>
              <w:cnfStyle w:val="000000100000" w:firstRow="0" w:lastRow="0" w:firstColumn="0" w:lastColumn="0" w:oddVBand="0" w:evenVBand="0" w:oddHBand="1" w:evenHBand="0" w:firstRowFirstColumn="0" w:firstRowLastColumn="0" w:lastRowFirstColumn="0" w:lastRowLastColumn="0"/>
              <w:rPr>
                <w:b/>
                <w:color w:val="FFFFFF" w:themeColor="background1"/>
                <w:sz w:val="20"/>
                <w:szCs w:val="20"/>
              </w:rPr>
            </w:pPr>
            <w:r w:rsidRPr="003D0109">
              <w:rPr>
                <w:b/>
                <w:color w:val="FFFFFF" w:themeColor="background1"/>
                <w:sz w:val="20"/>
                <w:szCs w:val="20"/>
              </w:rPr>
              <w:t>Non-Participants</w:t>
            </w:r>
          </w:p>
        </w:tc>
        <w:tc>
          <w:tcPr>
            <w:tcW w:w="1498" w:type="dxa"/>
            <w:shd w:val="clear" w:color="auto" w:fill="4F81BD" w:themeFill="accent1"/>
            <w:hideMark/>
          </w:tcPr>
          <w:p w14:paraId="7469162E" w14:textId="77777777" w:rsidR="00AF5D42" w:rsidRPr="003D0109" w:rsidRDefault="00AF5D42" w:rsidP="00BD1990">
            <w:pPr>
              <w:spacing w:after="0"/>
              <w:jc w:val="center"/>
              <w:cnfStyle w:val="000000100000" w:firstRow="0" w:lastRow="0" w:firstColumn="0" w:lastColumn="0" w:oddVBand="0" w:evenVBand="0" w:oddHBand="1" w:evenHBand="0" w:firstRowFirstColumn="0" w:firstRowLastColumn="0" w:lastRowFirstColumn="0" w:lastRowLastColumn="0"/>
              <w:rPr>
                <w:b/>
                <w:color w:val="FFFFFF" w:themeColor="background1"/>
                <w:sz w:val="20"/>
                <w:szCs w:val="20"/>
              </w:rPr>
            </w:pPr>
            <w:r w:rsidRPr="003D0109">
              <w:rPr>
                <w:b/>
                <w:color w:val="FFFFFF" w:themeColor="background1"/>
                <w:sz w:val="20"/>
                <w:szCs w:val="20"/>
              </w:rPr>
              <w:t>Average Customer</w:t>
            </w:r>
          </w:p>
        </w:tc>
        <w:tc>
          <w:tcPr>
            <w:tcW w:w="1499" w:type="dxa"/>
            <w:shd w:val="clear" w:color="auto" w:fill="4F81BD" w:themeFill="accent1"/>
            <w:hideMark/>
          </w:tcPr>
          <w:p w14:paraId="7E84E814" w14:textId="77777777" w:rsidR="00AF5D42" w:rsidRPr="003D0109" w:rsidRDefault="00AF5D42" w:rsidP="00BD1990">
            <w:pPr>
              <w:spacing w:after="0"/>
              <w:jc w:val="center"/>
              <w:cnfStyle w:val="000000100000" w:firstRow="0" w:lastRow="0" w:firstColumn="0" w:lastColumn="0" w:oddVBand="0" w:evenVBand="0" w:oddHBand="1" w:evenHBand="0" w:firstRowFirstColumn="0" w:firstRowLastColumn="0" w:lastRowFirstColumn="0" w:lastRowLastColumn="0"/>
              <w:rPr>
                <w:b/>
                <w:color w:val="FFFFFF" w:themeColor="background1"/>
                <w:sz w:val="20"/>
                <w:szCs w:val="20"/>
              </w:rPr>
            </w:pPr>
            <w:r w:rsidRPr="003D0109">
              <w:rPr>
                <w:b/>
                <w:color w:val="FFFFFF" w:themeColor="background1"/>
                <w:sz w:val="20"/>
                <w:szCs w:val="20"/>
              </w:rPr>
              <w:t>Average Participant</w:t>
            </w:r>
          </w:p>
        </w:tc>
      </w:tr>
      <w:tr w:rsidR="000828FA" w:rsidRPr="009C5B9A" w14:paraId="5456F509" w14:textId="77777777" w:rsidTr="000828FA">
        <w:tc>
          <w:tcPr>
            <w:cnfStyle w:val="001000000000" w:firstRow="0" w:lastRow="0" w:firstColumn="1" w:lastColumn="0" w:oddVBand="0" w:evenVBand="0" w:oddHBand="0" w:evenHBand="0" w:firstRowFirstColumn="0" w:firstRowLastColumn="0" w:lastRowFirstColumn="0" w:lastRowLastColumn="0"/>
            <w:tcW w:w="3415" w:type="dxa"/>
          </w:tcPr>
          <w:p w14:paraId="69F11CEC" w14:textId="3EE07D7E" w:rsidR="000828FA" w:rsidRPr="003D0109" w:rsidRDefault="000828FA" w:rsidP="000828FA">
            <w:pPr>
              <w:spacing w:after="0"/>
              <w:rPr>
                <w:b w:val="0"/>
                <w:bCs w:val="0"/>
                <w:sz w:val="20"/>
                <w:szCs w:val="20"/>
              </w:rPr>
            </w:pPr>
            <w:r w:rsidRPr="003D0109">
              <w:rPr>
                <w:b w:val="0"/>
                <w:bCs w:val="0"/>
                <w:sz w:val="20"/>
                <w:szCs w:val="20"/>
              </w:rPr>
              <w:t>Residential (Model 1: HERs only)</w:t>
            </w:r>
          </w:p>
        </w:tc>
        <w:tc>
          <w:tcPr>
            <w:tcW w:w="1440" w:type="dxa"/>
          </w:tcPr>
          <w:p w14:paraId="61EF8045" w14:textId="6516FB59" w:rsidR="000828FA" w:rsidRPr="000828FA" w:rsidRDefault="000828FA" w:rsidP="000828FA">
            <w:pPr>
              <w:spacing w:after="0"/>
              <w:jc w:val="right"/>
              <w:cnfStyle w:val="000000000000" w:firstRow="0" w:lastRow="0" w:firstColumn="0" w:lastColumn="0" w:oddVBand="0" w:evenVBand="0" w:oddHBand="0" w:evenHBand="0" w:firstRowFirstColumn="0" w:firstRowLastColumn="0" w:lastRowFirstColumn="0" w:lastRowLastColumn="0"/>
              <w:rPr>
                <w:sz w:val="20"/>
                <w:szCs w:val="20"/>
              </w:rPr>
            </w:pPr>
            <w:r w:rsidRPr="000828FA">
              <w:rPr>
                <w:sz w:val="20"/>
                <w:szCs w:val="20"/>
              </w:rPr>
              <w:t>0.01%</w:t>
            </w:r>
          </w:p>
        </w:tc>
        <w:tc>
          <w:tcPr>
            <w:tcW w:w="1498" w:type="dxa"/>
          </w:tcPr>
          <w:p w14:paraId="3C18BE8B" w14:textId="73E85772" w:rsidR="000828FA" w:rsidRPr="000828FA" w:rsidRDefault="000828FA" w:rsidP="000828FA">
            <w:pPr>
              <w:spacing w:after="0"/>
              <w:jc w:val="right"/>
              <w:cnfStyle w:val="000000000000" w:firstRow="0" w:lastRow="0" w:firstColumn="0" w:lastColumn="0" w:oddVBand="0" w:evenVBand="0" w:oddHBand="0" w:evenHBand="0" w:firstRowFirstColumn="0" w:firstRowLastColumn="0" w:lastRowFirstColumn="0" w:lastRowLastColumn="0"/>
              <w:rPr>
                <w:sz w:val="20"/>
                <w:szCs w:val="20"/>
              </w:rPr>
            </w:pPr>
            <w:r w:rsidRPr="000828FA">
              <w:rPr>
                <w:sz w:val="20"/>
                <w:szCs w:val="20"/>
              </w:rPr>
              <w:t>0.01%</w:t>
            </w:r>
          </w:p>
        </w:tc>
        <w:tc>
          <w:tcPr>
            <w:tcW w:w="1498" w:type="dxa"/>
          </w:tcPr>
          <w:p w14:paraId="1C52AE6B" w14:textId="5B39D8C9" w:rsidR="000828FA" w:rsidRPr="000828FA" w:rsidRDefault="000828FA" w:rsidP="000828FA">
            <w:pPr>
              <w:spacing w:after="0"/>
              <w:jc w:val="right"/>
              <w:cnfStyle w:val="000000000000" w:firstRow="0" w:lastRow="0" w:firstColumn="0" w:lastColumn="0" w:oddVBand="0" w:evenVBand="0" w:oddHBand="0" w:evenHBand="0" w:firstRowFirstColumn="0" w:firstRowLastColumn="0" w:lastRowFirstColumn="0" w:lastRowLastColumn="0"/>
              <w:rPr>
                <w:sz w:val="20"/>
                <w:szCs w:val="20"/>
              </w:rPr>
            </w:pPr>
            <w:r w:rsidRPr="000828FA">
              <w:rPr>
                <w:sz w:val="20"/>
                <w:szCs w:val="20"/>
              </w:rPr>
              <w:t>0.00%</w:t>
            </w:r>
          </w:p>
        </w:tc>
        <w:tc>
          <w:tcPr>
            <w:tcW w:w="1499" w:type="dxa"/>
          </w:tcPr>
          <w:p w14:paraId="2AFA0322" w14:textId="5BDAA749" w:rsidR="000828FA" w:rsidRPr="000828FA" w:rsidRDefault="000828FA" w:rsidP="000828FA">
            <w:pPr>
              <w:spacing w:after="0"/>
              <w:jc w:val="right"/>
              <w:cnfStyle w:val="000000000000" w:firstRow="0" w:lastRow="0" w:firstColumn="0" w:lastColumn="0" w:oddVBand="0" w:evenVBand="0" w:oddHBand="0" w:evenHBand="0" w:firstRowFirstColumn="0" w:firstRowLastColumn="0" w:lastRowFirstColumn="0" w:lastRowLastColumn="0"/>
              <w:rPr>
                <w:sz w:val="20"/>
                <w:szCs w:val="20"/>
              </w:rPr>
            </w:pPr>
            <w:r w:rsidRPr="000828FA">
              <w:rPr>
                <w:sz w:val="20"/>
                <w:szCs w:val="20"/>
              </w:rPr>
              <w:t>-0.02%</w:t>
            </w:r>
          </w:p>
        </w:tc>
      </w:tr>
      <w:tr w:rsidR="000828FA" w:rsidRPr="009C5B9A" w14:paraId="64575F9B" w14:textId="77777777" w:rsidTr="00082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05FAE7E8" w14:textId="7A77E445" w:rsidR="000828FA" w:rsidRPr="003D0109" w:rsidRDefault="000828FA" w:rsidP="000828FA">
            <w:pPr>
              <w:spacing w:after="0"/>
              <w:rPr>
                <w:b w:val="0"/>
                <w:bCs w:val="0"/>
                <w:sz w:val="20"/>
                <w:szCs w:val="20"/>
              </w:rPr>
            </w:pPr>
            <w:r w:rsidRPr="003D0109">
              <w:rPr>
                <w:b w:val="0"/>
                <w:bCs w:val="0"/>
                <w:sz w:val="20"/>
                <w:szCs w:val="20"/>
              </w:rPr>
              <w:t>Residential (Model 2: All Programs Except HERs)</w:t>
            </w:r>
          </w:p>
        </w:tc>
        <w:tc>
          <w:tcPr>
            <w:tcW w:w="1440" w:type="dxa"/>
          </w:tcPr>
          <w:p w14:paraId="059F7485" w14:textId="20DB2EC6" w:rsidR="000828FA" w:rsidRPr="000828FA" w:rsidRDefault="000828FA" w:rsidP="000828FA">
            <w:pPr>
              <w:spacing w:after="0"/>
              <w:jc w:val="right"/>
              <w:cnfStyle w:val="000000100000" w:firstRow="0" w:lastRow="0" w:firstColumn="0" w:lastColumn="0" w:oddVBand="0" w:evenVBand="0" w:oddHBand="1" w:evenHBand="0" w:firstRowFirstColumn="0" w:firstRowLastColumn="0" w:lastRowFirstColumn="0" w:lastRowLastColumn="0"/>
              <w:rPr>
                <w:sz w:val="20"/>
                <w:szCs w:val="20"/>
              </w:rPr>
            </w:pPr>
            <w:r w:rsidRPr="000828FA">
              <w:rPr>
                <w:sz w:val="20"/>
                <w:szCs w:val="20"/>
              </w:rPr>
              <w:t>0.34%</w:t>
            </w:r>
          </w:p>
        </w:tc>
        <w:tc>
          <w:tcPr>
            <w:tcW w:w="1498" w:type="dxa"/>
          </w:tcPr>
          <w:p w14:paraId="5145BF7F" w14:textId="37FA8B27" w:rsidR="000828FA" w:rsidRPr="000828FA" w:rsidRDefault="000828FA" w:rsidP="000828FA">
            <w:pPr>
              <w:spacing w:after="0"/>
              <w:jc w:val="right"/>
              <w:cnfStyle w:val="000000100000" w:firstRow="0" w:lastRow="0" w:firstColumn="0" w:lastColumn="0" w:oddVBand="0" w:evenVBand="0" w:oddHBand="1" w:evenHBand="0" w:firstRowFirstColumn="0" w:firstRowLastColumn="0" w:lastRowFirstColumn="0" w:lastRowLastColumn="0"/>
              <w:rPr>
                <w:sz w:val="20"/>
                <w:szCs w:val="20"/>
              </w:rPr>
            </w:pPr>
            <w:r w:rsidRPr="000828FA">
              <w:rPr>
                <w:sz w:val="20"/>
                <w:szCs w:val="20"/>
              </w:rPr>
              <w:t>0.34%</w:t>
            </w:r>
          </w:p>
        </w:tc>
        <w:tc>
          <w:tcPr>
            <w:tcW w:w="1498" w:type="dxa"/>
          </w:tcPr>
          <w:p w14:paraId="7BD05947" w14:textId="590166BE" w:rsidR="000828FA" w:rsidRPr="000828FA" w:rsidRDefault="000828FA" w:rsidP="000828FA">
            <w:pPr>
              <w:spacing w:after="0"/>
              <w:jc w:val="right"/>
              <w:cnfStyle w:val="000000100000" w:firstRow="0" w:lastRow="0" w:firstColumn="0" w:lastColumn="0" w:oddVBand="0" w:evenVBand="0" w:oddHBand="1" w:evenHBand="0" w:firstRowFirstColumn="0" w:firstRowLastColumn="0" w:lastRowFirstColumn="0" w:lastRowLastColumn="0"/>
              <w:rPr>
                <w:sz w:val="20"/>
                <w:szCs w:val="20"/>
              </w:rPr>
            </w:pPr>
            <w:r w:rsidRPr="000828FA">
              <w:rPr>
                <w:sz w:val="20"/>
                <w:szCs w:val="20"/>
              </w:rPr>
              <w:t>0.14%</w:t>
            </w:r>
          </w:p>
        </w:tc>
        <w:tc>
          <w:tcPr>
            <w:tcW w:w="1499" w:type="dxa"/>
          </w:tcPr>
          <w:p w14:paraId="02FDF973" w14:textId="207607F1" w:rsidR="000828FA" w:rsidRPr="000828FA" w:rsidRDefault="000828FA" w:rsidP="000828FA">
            <w:pPr>
              <w:spacing w:after="0"/>
              <w:jc w:val="right"/>
              <w:cnfStyle w:val="000000100000" w:firstRow="0" w:lastRow="0" w:firstColumn="0" w:lastColumn="0" w:oddVBand="0" w:evenVBand="0" w:oddHBand="1" w:evenHBand="0" w:firstRowFirstColumn="0" w:firstRowLastColumn="0" w:lastRowFirstColumn="0" w:lastRowLastColumn="0"/>
              <w:rPr>
                <w:sz w:val="20"/>
                <w:szCs w:val="20"/>
              </w:rPr>
            </w:pPr>
            <w:r w:rsidRPr="000828FA">
              <w:rPr>
                <w:sz w:val="20"/>
                <w:szCs w:val="20"/>
              </w:rPr>
              <w:t>-5.24%</w:t>
            </w:r>
          </w:p>
        </w:tc>
      </w:tr>
      <w:tr w:rsidR="000828FA" w:rsidRPr="009C5B9A" w14:paraId="263FF331" w14:textId="77777777" w:rsidTr="000828FA">
        <w:tc>
          <w:tcPr>
            <w:cnfStyle w:val="001000000000" w:firstRow="0" w:lastRow="0" w:firstColumn="1" w:lastColumn="0" w:oddVBand="0" w:evenVBand="0" w:oddHBand="0" w:evenHBand="0" w:firstRowFirstColumn="0" w:firstRowLastColumn="0" w:lastRowFirstColumn="0" w:lastRowLastColumn="0"/>
            <w:tcW w:w="3415" w:type="dxa"/>
          </w:tcPr>
          <w:p w14:paraId="7B920F0B" w14:textId="202BF0C2" w:rsidR="000828FA" w:rsidRPr="003D0109" w:rsidRDefault="000828FA" w:rsidP="000828FA">
            <w:pPr>
              <w:spacing w:after="0"/>
              <w:rPr>
                <w:b w:val="0"/>
                <w:bCs w:val="0"/>
                <w:sz w:val="20"/>
                <w:szCs w:val="20"/>
              </w:rPr>
            </w:pPr>
            <w:r w:rsidRPr="003D0109">
              <w:rPr>
                <w:b w:val="0"/>
                <w:bCs w:val="0"/>
                <w:sz w:val="20"/>
                <w:szCs w:val="20"/>
              </w:rPr>
              <w:t>Residential (Model 3: All Programs)</w:t>
            </w:r>
          </w:p>
        </w:tc>
        <w:tc>
          <w:tcPr>
            <w:tcW w:w="1440" w:type="dxa"/>
          </w:tcPr>
          <w:p w14:paraId="2D581202" w14:textId="1589347E" w:rsidR="000828FA" w:rsidRPr="000828FA" w:rsidRDefault="000828FA" w:rsidP="000828FA">
            <w:pPr>
              <w:spacing w:after="0"/>
              <w:jc w:val="right"/>
              <w:cnfStyle w:val="000000000000" w:firstRow="0" w:lastRow="0" w:firstColumn="0" w:lastColumn="0" w:oddVBand="0" w:evenVBand="0" w:oddHBand="0" w:evenHBand="0" w:firstRowFirstColumn="0" w:firstRowLastColumn="0" w:lastRowFirstColumn="0" w:lastRowLastColumn="0"/>
              <w:rPr>
                <w:sz w:val="20"/>
                <w:szCs w:val="20"/>
              </w:rPr>
            </w:pPr>
            <w:r w:rsidRPr="000828FA">
              <w:rPr>
                <w:sz w:val="20"/>
                <w:szCs w:val="20"/>
              </w:rPr>
              <w:t>0.35%</w:t>
            </w:r>
          </w:p>
        </w:tc>
        <w:tc>
          <w:tcPr>
            <w:tcW w:w="1498" w:type="dxa"/>
          </w:tcPr>
          <w:p w14:paraId="26B797B1" w14:textId="257AE18B" w:rsidR="000828FA" w:rsidRPr="000828FA" w:rsidRDefault="000828FA" w:rsidP="000828FA">
            <w:pPr>
              <w:spacing w:after="0"/>
              <w:jc w:val="right"/>
              <w:cnfStyle w:val="000000000000" w:firstRow="0" w:lastRow="0" w:firstColumn="0" w:lastColumn="0" w:oddVBand="0" w:evenVBand="0" w:oddHBand="0" w:evenHBand="0" w:firstRowFirstColumn="0" w:firstRowLastColumn="0" w:lastRowFirstColumn="0" w:lastRowLastColumn="0"/>
              <w:rPr>
                <w:sz w:val="20"/>
                <w:szCs w:val="20"/>
              </w:rPr>
            </w:pPr>
            <w:r w:rsidRPr="000828FA">
              <w:rPr>
                <w:sz w:val="20"/>
                <w:szCs w:val="20"/>
              </w:rPr>
              <w:t>0.35%</w:t>
            </w:r>
          </w:p>
        </w:tc>
        <w:tc>
          <w:tcPr>
            <w:tcW w:w="1498" w:type="dxa"/>
          </w:tcPr>
          <w:p w14:paraId="6C432748" w14:textId="7ABBD42B" w:rsidR="000828FA" w:rsidRPr="000828FA" w:rsidRDefault="000828FA" w:rsidP="000828FA">
            <w:pPr>
              <w:spacing w:after="0"/>
              <w:jc w:val="right"/>
              <w:cnfStyle w:val="000000000000" w:firstRow="0" w:lastRow="0" w:firstColumn="0" w:lastColumn="0" w:oddVBand="0" w:evenVBand="0" w:oddHBand="0" w:evenHBand="0" w:firstRowFirstColumn="0" w:firstRowLastColumn="0" w:lastRowFirstColumn="0" w:lastRowLastColumn="0"/>
              <w:rPr>
                <w:sz w:val="20"/>
                <w:szCs w:val="20"/>
              </w:rPr>
            </w:pPr>
            <w:r w:rsidRPr="000828FA">
              <w:rPr>
                <w:sz w:val="20"/>
                <w:szCs w:val="20"/>
              </w:rPr>
              <w:t>0.13%</w:t>
            </w:r>
          </w:p>
        </w:tc>
        <w:tc>
          <w:tcPr>
            <w:tcW w:w="1499" w:type="dxa"/>
          </w:tcPr>
          <w:p w14:paraId="6746E805" w14:textId="0A2AE3F4" w:rsidR="000828FA" w:rsidRPr="000828FA" w:rsidRDefault="000828FA" w:rsidP="000828FA">
            <w:pPr>
              <w:spacing w:after="0"/>
              <w:jc w:val="right"/>
              <w:cnfStyle w:val="000000000000" w:firstRow="0" w:lastRow="0" w:firstColumn="0" w:lastColumn="0" w:oddVBand="0" w:evenVBand="0" w:oddHBand="0" w:evenHBand="0" w:firstRowFirstColumn="0" w:firstRowLastColumn="0" w:lastRowFirstColumn="0" w:lastRowLastColumn="0"/>
              <w:rPr>
                <w:sz w:val="20"/>
                <w:szCs w:val="20"/>
              </w:rPr>
            </w:pPr>
            <w:r w:rsidRPr="000828FA">
              <w:rPr>
                <w:sz w:val="20"/>
                <w:szCs w:val="20"/>
              </w:rPr>
              <w:t>-0.02%</w:t>
            </w:r>
          </w:p>
        </w:tc>
      </w:tr>
      <w:tr w:rsidR="000828FA" w:rsidRPr="009C5B9A" w14:paraId="1D71D47C" w14:textId="77777777" w:rsidTr="00082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hideMark/>
          </w:tcPr>
          <w:p w14:paraId="27033143" w14:textId="5DBE8702" w:rsidR="000828FA" w:rsidRPr="003D0109" w:rsidRDefault="000828FA" w:rsidP="000828FA">
            <w:pPr>
              <w:spacing w:after="0"/>
              <w:rPr>
                <w:b w:val="0"/>
                <w:bCs w:val="0"/>
                <w:sz w:val="20"/>
                <w:szCs w:val="20"/>
              </w:rPr>
            </w:pPr>
            <w:r w:rsidRPr="003D0109">
              <w:rPr>
                <w:b w:val="0"/>
                <w:bCs w:val="0"/>
                <w:sz w:val="20"/>
                <w:szCs w:val="20"/>
              </w:rPr>
              <w:t>Income Eligible</w:t>
            </w:r>
          </w:p>
        </w:tc>
        <w:tc>
          <w:tcPr>
            <w:tcW w:w="1440" w:type="dxa"/>
          </w:tcPr>
          <w:p w14:paraId="4085ACC2" w14:textId="4E4F5FB3" w:rsidR="000828FA" w:rsidRPr="000828FA" w:rsidRDefault="000828FA" w:rsidP="000828FA">
            <w:pPr>
              <w:spacing w:after="0"/>
              <w:jc w:val="right"/>
              <w:cnfStyle w:val="000000100000" w:firstRow="0" w:lastRow="0" w:firstColumn="0" w:lastColumn="0" w:oddVBand="0" w:evenVBand="0" w:oddHBand="1" w:evenHBand="0" w:firstRowFirstColumn="0" w:firstRowLastColumn="0" w:lastRowFirstColumn="0" w:lastRowLastColumn="0"/>
              <w:rPr>
                <w:sz w:val="20"/>
                <w:szCs w:val="20"/>
              </w:rPr>
            </w:pPr>
            <w:r w:rsidRPr="000828FA">
              <w:rPr>
                <w:sz w:val="20"/>
                <w:szCs w:val="20"/>
              </w:rPr>
              <w:t>0.49%</w:t>
            </w:r>
          </w:p>
        </w:tc>
        <w:tc>
          <w:tcPr>
            <w:tcW w:w="1498" w:type="dxa"/>
          </w:tcPr>
          <w:p w14:paraId="63416B03" w14:textId="532102FC" w:rsidR="000828FA" w:rsidRPr="000828FA" w:rsidRDefault="000828FA" w:rsidP="000828FA">
            <w:pPr>
              <w:spacing w:after="0"/>
              <w:jc w:val="right"/>
              <w:cnfStyle w:val="000000100000" w:firstRow="0" w:lastRow="0" w:firstColumn="0" w:lastColumn="0" w:oddVBand="0" w:evenVBand="0" w:oddHBand="1" w:evenHBand="0" w:firstRowFirstColumn="0" w:firstRowLastColumn="0" w:lastRowFirstColumn="0" w:lastRowLastColumn="0"/>
              <w:rPr>
                <w:sz w:val="20"/>
                <w:szCs w:val="20"/>
              </w:rPr>
            </w:pPr>
            <w:r w:rsidRPr="000828FA">
              <w:rPr>
                <w:sz w:val="20"/>
                <w:szCs w:val="20"/>
              </w:rPr>
              <w:t>0.50%</w:t>
            </w:r>
          </w:p>
        </w:tc>
        <w:tc>
          <w:tcPr>
            <w:tcW w:w="1498" w:type="dxa"/>
          </w:tcPr>
          <w:p w14:paraId="5FB33871" w14:textId="1F9BF4E0" w:rsidR="000828FA" w:rsidRPr="000828FA" w:rsidRDefault="000828FA" w:rsidP="000828FA">
            <w:pPr>
              <w:spacing w:after="0"/>
              <w:jc w:val="right"/>
              <w:cnfStyle w:val="000000100000" w:firstRow="0" w:lastRow="0" w:firstColumn="0" w:lastColumn="0" w:oddVBand="0" w:evenVBand="0" w:oddHBand="1" w:evenHBand="0" w:firstRowFirstColumn="0" w:firstRowLastColumn="0" w:lastRowFirstColumn="0" w:lastRowLastColumn="0"/>
              <w:rPr>
                <w:sz w:val="20"/>
                <w:szCs w:val="20"/>
              </w:rPr>
            </w:pPr>
            <w:r w:rsidRPr="000828FA">
              <w:rPr>
                <w:sz w:val="20"/>
                <w:szCs w:val="20"/>
              </w:rPr>
              <w:t>-0.04%</w:t>
            </w:r>
          </w:p>
        </w:tc>
        <w:tc>
          <w:tcPr>
            <w:tcW w:w="1499" w:type="dxa"/>
          </w:tcPr>
          <w:p w14:paraId="79892588" w14:textId="5A711BF1" w:rsidR="000828FA" w:rsidRPr="000828FA" w:rsidRDefault="000828FA" w:rsidP="000828FA">
            <w:pPr>
              <w:spacing w:after="0"/>
              <w:jc w:val="right"/>
              <w:cnfStyle w:val="000000100000" w:firstRow="0" w:lastRow="0" w:firstColumn="0" w:lastColumn="0" w:oddVBand="0" w:evenVBand="0" w:oddHBand="1" w:evenHBand="0" w:firstRowFirstColumn="0" w:firstRowLastColumn="0" w:lastRowFirstColumn="0" w:lastRowLastColumn="0"/>
              <w:rPr>
                <w:sz w:val="20"/>
                <w:szCs w:val="20"/>
              </w:rPr>
            </w:pPr>
            <w:r w:rsidRPr="000828FA">
              <w:rPr>
                <w:sz w:val="20"/>
                <w:szCs w:val="20"/>
              </w:rPr>
              <w:t>-3.33%</w:t>
            </w:r>
          </w:p>
        </w:tc>
      </w:tr>
      <w:tr w:rsidR="000828FA" w:rsidRPr="009C5B9A" w14:paraId="3568873C" w14:textId="77777777" w:rsidTr="000828FA">
        <w:tc>
          <w:tcPr>
            <w:cnfStyle w:val="001000000000" w:firstRow="0" w:lastRow="0" w:firstColumn="1" w:lastColumn="0" w:oddVBand="0" w:evenVBand="0" w:oddHBand="0" w:evenHBand="0" w:firstRowFirstColumn="0" w:firstRowLastColumn="0" w:lastRowFirstColumn="0" w:lastRowLastColumn="0"/>
            <w:tcW w:w="3415" w:type="dxa"/>
            <w:hideMark/>
          </w:tcPr>
          <w:p w14:paraId="32F1591D" w14:textId="77777777" w:rsidR="000828FA" w:rsidRPr="003D0109" w:rsidRDefault="000828FA" w:rsidP="000828FA">
            <w:pPr>
              <w:spacing w:after="0"/>
              <w:rPr>
                <w:b w:val="0"/>
                <w:bCs w:val="0"/>
                <w:sz w:val="20"/>
                <w:szCs w:val="20"/>
              </w:rPr>
            </w:pPr>
            <w:r w:rsidRPr="003D0109">
              <w:rPr>
                <w:b w:val="0"/>
                <w:bCs w:val="0"/>
                <w:sz w:val="20"/>
                <w:szCs w:val="20"/>
              </w:rPr>
              <w:t>Small C&amp;I</w:t>
            </w:r>
          </w:p>
        </w:tc>
        <w:tc>
          <w:tcPr>
            <w:tcW w:w="1440" w:type="dxa"/>
          </w:tcPr>
          <w:p w14:paraId="6FF46C9F" w14:textId="6C9CB5D9" w:rsidR="000828FA" w:rsidRPr="000828FA" w:rsidRDefault="000828FA" w:rsidP="000828FA">
            <w:pPr>
              <w:spacing w:after="0"/>
              <w:jc w:val="right"/>
              <w:cnfStyle w:val="000000000000" w:firstRow="0" w:lastRow="0" w:firstColumn="0" w:lastColumn="0" w:oddVBand="0" w:evenVBand="0" w:oddHBand="0" w:evenHBand="0" w:firstRowFirstColumn="0" w:firstRowLastColumn="0" w:lastRowFirstColumn="0" w:lastRowLastColumn="0"/>
              <w:rPr>
                <w:sz w:val="20"/>
                <w:szCs w:val="20"/>
              </w:rPr>
            </w:pPr>
            <w:r w:rsidRPr="000828FA">
              <w:rPr>
                <w:sz w:val="20"/>
                <w:szCs w:val="20"/>
              </w:rPr>
              <w:t>0.25%</w:t>
            </w:r>
          </w:p>
        </w:tc>
        <w:tc>
          <w:tcPr>
            <w:tcW w:w="1498" w:type="dxa"/>
          </w:tcPr>
          <w:p w14:paraId="0EF80DB8" w14:textId="3BF8A75F" w:rsidR="000828FA" w:rsidRPr="000828FA" w:rsidRDefault="000828FA" w:rsidP="000828FA">
            <w:pPr>
              <w:spacing w:after="0"/>
              <w:jc w:val="right"/>
              <w:cnfStyle w:val="000000000000" w:firstRow="0" w:lastRow="0" w:firstColumn="0" w:lastColumn="0" w:oddVBand="0" w:evenVBand="0" w:oddHBand="0" w:evenHBand="0" w:firstRowFirstColumn="0" w:firstRowLastColumn="0" w:lastRowFirstColumn="0" w:lastRowLastColumn="0"/>
              <w:rPr>
                <w:sz w:val="20"/>
                <w:szCs w:val="20"/>
              </w:rPr>
            </w:pPr>
            <w:r w:rsidRPr="000828FA">
              <w:rPr>
                <w:sz w:val="20"/>
                <w:szCs w:val="20"/>
              </w:rPr>
              <w:t>0.25%</w:t>
            </w:r>
          </w:p>
        </w:tc>
        <w:tc>
          <w:tcPr>
            <w:tcW w:w="1498" w:type="dxa"/>
          </w:tcPr>
          <w:p w14:paraId="5D330C5B" w14:textId="392928FC" w:rsidR="000828FA" w:rsidRPr="000828FA" w:rsidRDefault="000828FA" w:rsidP="000828FA">
            <w:pPr>
              <w:spacing w:after="0"/>
              <w:jc w:val="right"/>
              <w:cnfStyle w:val="000000000000" w:firstRow="0" w:lastRow="0" w:firstColumn="0" w:lastColumn="0" w:oddVBand="0" w:evenVBand="0" w:oddHBand="0" w:evenHBand="0" w:firstRowFirstColumn="0" w:firstRowLastColumn="0" w:lastRowFirstColumn="0" w:lastRowLastColumn="0"/>
              <w:rPr>
                <w:sz w:val="20"/>
                <w:szCs w:val="20"/>
              </w:rPr>
            </w:pPr>
            <w:r w:rsidRPr="000828FA">
              <w:rPr>
                <w:sz w:val="20"/>
                <w:szCs w:val="20"/>
              </w:rPr>
              <w:t>0.08%</w:t>
            </w:r>
          </w:p>
        </w:tc>
        <w:tc>
          <w:tcPr>
            <w:tcW w:w="1499" w:type="dxa"/>
          </w:tcPr>
          <w:p w14:paraId="0A6DE7F6" w14:textId="194693ED" w:rsidR="000828FA" w:rsidRPr="000828FA" w:rsidRDefault="000828FA" w:rsidP="000828FA">
            <w:pPr>
              <w:spacing w:after="0"/>
              <w:jc w:val="right"/>
              <w:cnfStyle w:val="000000000000" w:firstRow="0" w:lastRow="0" w:firstColumn="0" w:lastColumn="0" w:oddVBand="0" w:evenVBand="0" w:oddHBand="0" w:evenHBand="0" w:firstRowFirstColumn="0" w:firstRowLastColumn="0" w:lastRowFirstColumn="0" w:lastRowLastColumn="0"/>
              <w:rPr>
                <w:sz w:val="20"/>
                <w:szCs w:val="20"/>
              </w:rPr>
            </w:pPr>
            <w:r w:rsidRPr="000828FA">
              <w:rPr>
                <w:sz w:val="20"/>
                <w:szCs w:val="20"/>
              </w:rPr>
              <w:t>-21.63%</w:t>
            </w:r>
          </w:p>
        </w:tc>
      </w:tr>
      <w:tr w:rsidR="000828FA" w14:paraId="55589EFC" w14:textId="77777777" w:rsidTr="00082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hideMark/>
          </w:tcPr>
          <w:p w14:paraId="0618CB7D" w14:textId="77777777" w:rsidR="000828FA" w:rsidRPr="003D0109" w:rsidRDefault="000828FA" w:rsidP="000828FA">
            <w:pPr>
              <w:spacing w:after="0"/>
              <w:rPr>
                <w:b w:val="0"/>
                <w:bCs w:val="0"/>
                <w:sz w:val="20"/>
                <w:szCs w:val="20"/>
              </w:rPr>
            </w:pPr>
            <w:r w:rsidRPr="003D0109">
              <w:rPr>
                <w:b w:val="0"/>
                <w:bCs w:val="0"/>
                <w:sz w:val="20"/>
                <w:szCs w:val="20"/>
              </w:rPr>
              <w:t>Large C&amp;I</w:t>
            </w:r>
          </w:p>
        </w:tc>
        <w:tc>
          <w:tcPr>
            <w:tcW w:w="1440" w:type="dxa"/>
          </w:tcPr>
          <w:p w14:paraId="004320DA" w14:textId="4787139F" w:rsidR="000828FA" w:rsidRPr="000828FA" w:rsidRDefault="000828FA" w:rsidP="000828FA">
            <w:pPr>
              <w:spacing w:after="0"/>
              <w:jc w:val="right"/>
              <w:cnfStyle w:val="000000100000" w:firstRow="0" w:lastRow="0" w:firstColumn="0" w:lastColumn="0" w:oddVBand="0" w:evenVBand="0" w:oddHBand="1" w:evenHBand="0" w:firstRowFirstColumn="0" w:firstRowLastColumn="0" w:lastRowFirstColumn="0" w:lastRowLastColumn="0"/>
              <w:rPr>
                <w:sz w:val="20"/>
                <w:szCs w:val="20"/>
              </w:rPr>
            </w:pPr>
            <w:r w:rsidRPr="000828FA">
              <w:rPr>
                <w:sz w:val="20"/>
                <w:szCs w:val="20"/>
              </w:rPr>
              <w:t>0.35%</w:t>
            </w:r>
          </w:p>
        </w:tc>
        <w:tc>
          <w:tcPr>
            <w:tcW w:w="1498" w:type="dxa"/>
          </w:tcPr>
          <w:p w14:paraId="2A5005A4" w14:textId="779E7099" w:rsidR="000828FA" w:rsidRPr="000828FA" w:rsidRDefault="000828FA" w:rsidP="000828FA">
            <w:pPr>
              <w:spacing w:after="0"/>
              <w:jc w:val="right"/>
              <w:cnfStyle w:val="000000100000" w:firstRow="0" w:lastRow="0" w:firstColumn="0" w:lastColumn="0" w:oddVBand="0" w:evenVBand="0" w:oddHBand="1" w:evenHBand="0" w:firstRowFirstColumn="0" w:firstRowLastColumn="0" w:lastRowFirstColumn="0" w:lastRowLastColumn="0"/>
              <w:rPr>
                <w:sz w:val="20"/>
                <w:szCs w:val="20"/>
              </w:rPr>
            </w:pPr>
            <w:r w:rsidRPr="000828FA">
              <w:rPr>
                <w:sz w:val="20"/>
                <w:szCs w:val="20"/>
              </w:rPr>
              <w:t>0.35%</w:t>
            </w:r>
          </w:p>
        </w:tc>
        <w:tc>
          <w:tcPr>
            <w:tcW w:w="1498" w:type="dxa"/>
          </w:tcPr>
          <w:p w14:paraId="5AF53221" w14:textId="3F4587BC" w:rsidR="000828FA" w:rsidRPr="000828FA" w:rsidRDefault="000828FA" w:rsidP="000828FA">
            <w:pPr>
              <w:spacing w:after="0"/>
              <w:jc w:val="right"/>
              <w:cnfStyle w:val="000000100000" w:firstRow="0" w:lastRow="0" w:firstColumn="0" w:lastColumn="0" w:oddVBand="0" w:evenVBand="0" w:oddHBand="1" w:evenHBand="0" w:firstRowFirstColumn="0" w:firstRowLastColumn="0" w:lastRowFirstColumn="0" w:lastRowLastColumn="0"/>
              <w:rPr>
                <w:sz w:val="20"/>
                <w:szCs w:val="20"/>
              </w:rPr>
            </w:pPr>
            <w:r w:rsidRPr="000828FA">
              <w:rPr>
                <w:sz w:val="20"/>
                <w:szCs w:val="20"/>
              </w:rPr>
              <w:t>-0.18%</w:t>
            </w:r>
          </w:p>
        </w:tc>
        <w:tc>
          <w:tcPr>
            <w:tcW w:w="1499" w:type="dxa"/>
          </w:tcPr>
          <w:p w14:paraId="0B910424" w14:textId="49CEEC84" w:rsidR="000828FA" w:rsidRPr="000828FA" w:rsidRDefault="000828FA" w:rsidP="000828FA">
            <w:pPr>
              <w:spacing w:after="0"/>
              <w:jc w:val="right"/>
              <w:cnfStyle w:val="000000100000" w:firstRow="0" w:lastRow="0" w:firstColumn="0" w:lastColumn="0" w:oddVBand="0" w:evenVBand="0" w:oddHBand="1" w:evenHBand="0" w:firstRowFirstColumn="0" w:firstRowLastColumn="0" w:lastRowFirstColumn="0" w:lastRowLastColumn="0"/>
              <w:rPr>
                <w:sz w:val="20"/>
                <w:szCs w:val="20"/>
              </w:rPr>
            </w:pPr>
            <w:r w:rsidRPr="000828FA">
              <w:rPr>
                <w:sz w:val="20"/>
                <w:szCs w:val="20"/>
              </w:rPr>
              <w:t>-4.67%</w:t>
            </w:r>
          </w:p>
        </w:tc>
      </w:tr>
    </w:tbl>
    <w:p w14:paraId="69B75DCC" w14:textId="77777777" w:rsidR="00AE7BC3" w:rsidRDefault="00AE7BC3" w:rsidP="00AF5D42"/>
    <w:p w14:paraId="17B74604" w14:textId="6CD95C50" w:rsidR="00F57D9C" w:rsidRPr="002A072D" w:rsidRDefault="00F57D9C" w:rsidP="00AF5D42">
      <w:r>
        <w:t>Further detail is provided for each sector in the subsections below.</w:t>
      </w:r>
    </w:p>
    <w:p w14:paraId="53BB7F78" w14:textId="3268AB28" w:rsidR="00AF5D42" w:rsidRDefault="00AF5D42" w:rsidP="003917BE">
      <w:pPr>
        <w:pStyle w:val="Heading3"/>
      </w:pPr>
      <w:bookmarkStart w:id="13" w:name="_Ref52347914"/>
      <w:bookmarkStart w:id="14" w:name="_Toc115442344"/>
      <w:r>
        <w:t>Residential</w:t>
      </w:r>
      <w:bookmarkEnd w:id="13"/>
      <w:bookmarkEnd w:id="14"/>
    </w:p>
    <w:p w14:paraId="757B2566" w14:textId="07136381" w:rsidR="00AF5D42" w:rsidRDefault="00AF5D42" w:rsidP="00A6298E">
      <w:r>
        <w:t xml:space="preserve">The </w:t>
      </w:r>
      <w:r w:rsidR="006778C9">
        <w:t>Residential</w:t>
      </w:r>
      <w:r>
        <w:t xml:space="preserve"> sector is modeled using rates from </w:t>
      </w:r>
      <w:r w:rsidR="009E79E8">
        <w:t>R</w:t>
      </w:r>
      <w:r>
        <w:t xml:space="preserve">ate </w:t>
      </w:r>
      <w:r w:rsidR="009E79E8">
        <w:t>C</w:t>
      </w:r>
      <w:r>
        <w:t xml:space="preserve">lass 12, </w:t>
      </w:r>
      <w:r w:rsidR="00DB4D26">
        <w:t>Residential Heating</w:t>
      </w:r>
      <w:r>
        <w:t xml:space="preserve">. The rate and bill </w:t>
      </w:r>
      <w:proofErr w:type="gramStart"/>
      <w:r>
        <w:t>impacts</w:t>
      </w:r>
      <w:proofErr w:type="gramEnd"/>
      <w:r>
        <w:t xml:space="preserve"> for this sector are modeled for five programs, EnergyWise, EnergyStar HVAC, EnergyWise Multi-family, Home Energy Reports, and Residential New Construction. The residential sector is modeled using an annual consumption figure of </w:t>
      </w:r>
      <w:r w:rsidR="00183866">
        <w:t>874</w:t>
      </w:r>
      <w:r w:rsidR="001F05A1">
        <w:t xml:space="preserve"> </w:t>
      </w:r>
      <w:r>
        <w:t xml:space="preserve">therms per year, of which </w:t>
      </w:r>
      <w:r w:rsidR="00183866">
        <w:t>730</w:t>
      </w:r>
      <w:r w:rsidR="00A2669C">
        <w:t xml:space="preserve"> </w:t>
      </w:r>
      <w:r>
        <w:t xml:space="preserve">therms are winter usage and </w:t>
      </w:r>
      <w:r w:rsidR="00183866">
        <w:t>143</w:t>
      </w:r>
      <w:r w:rsidR="00A2669C">
        <w:t xml:space="preserve"> </w:t>
      </w:r>
      <w:r>
        <w:t>therms are summer usage</w:t>
      </w:r>
      <w:r w:rsidR="00A2669C">
        <w:t xml:space="preserve">. These values were </w:t>
      </w:r>
      <w:r>
        <w:t>determined by dividing sales for the sector by meter counts</w:t>
      </w:r>
      <w:r w:rsidR="00A2669C">
        <w:t xml:space="preserve"> in 202</w:t>
      </w:r>
      <w:r w:rsidR="007F6C15">
        <w:t>4</w:t>
      </w:r>
      <w:r>
        <w:t xml:space="preserve">. The customer population is modeled using latest customer counts as of </w:t>
      </w:r>
      <w:r w:rsidR="00B92D5E">
        <w:t>May 2022</w:t>
      </w:r>
      <w:r w:rsidR="007C2443">
        <w:t xml:space="preserve">, </w:t>
      </w:r>
      <w:r w:rsidR="00B92D5E">
        <w:t xml:space="preserve">223,220 </w:t>
      </w:r>
      <w:r>
        <w:t>accounts, and projected forward based on observed compound annual growth rate of customers in this rate class between 201</w:t>
      </w:r>
      <w:r w:rsidR="00975C30">
        <w:t>7</w:t>
      </w:r>
      <w:r>
        <w:t xml:space="preserve"> and 202</w:t>
      </w:r>
      <w:r w:rsidR="00744FF6">
        <w:t>2</w:t>
      </w:r>
      <w:r>
        <w:t>.</w:t>
      </w:r>
    </w:p>
    <w:p w14:paraId="1056A774" w14:textId="77777777" w:rsidR="00AF5D42" w:rsidRDefault="00AF5D42" w:rsidP="003917BE">
      <w:pPr>
        <w:pStyle w:val="Heading4"/>
      </w:pPr>
      <w:r>
        <w:t>Residential Rates</w:t>
      </w:r>
    </w:p>
    <w:p w14:paraId="759FC2F6" w14:textId="30EB4C1D" w:rsidR="00AF5D42" w:rsidRPr="002A072D" w:rsidRDefault="00AF5D42" w:rsidP="00A6298E">
      <w:r>
        <w:t>For the residential sector the 202</w:t>
      </w:r>
      <w:r w:rsidR="004B68EE">
        <w:t>3</w:t>
      </w:r>
      <w:r w:rsidR="00B467DC">
        <w:t xml:space="preserve"> </w:t>
      </w:r>
      <w:r>
        <w:t xml:space="preserve">Plan creates a levelized net change in rates of </w:t>
      </w:r>
      <w:r w:rsidR="00B33DB8">
        <w:t>0.3</w:t>
      </w:r>
      <w:r w:rsidR="00480848">
        <w:t>5</w:t>
      </w:r>
      <w:r>
        <w:t>%</w:t>
      </w:r>
      <w:r w:rsidR="00B467DC">
        <w:t xml:space="preserve"> </w:t>
      </w:r>
      <w:r>
        <w:t>compared to the counterfactual with no energy efficiency</w:t>
      </w:r>
      <w:r w:rsidR="00760E07">
        <w:t>.</w:t>
      </w:r>
    </w:p>
    <w:p w14:paraId="0D074298" w14:textId="77777777" w:rsidR="00AF5D42" w:rsidRPr="00AC2BE2" w:rsidRDefault="00AF5D42" w:rsidP="003917BE">
      <w:pPr>
        <w:pStyle w:val="Heading4"/>
      </w:pPr>
      <w:r w:rsidRPr="00AC2BE2">
        <w:t>Residential Bills</w:t>
      </w:r>
    </w:p>
    <w:p w14:paraId="693F4D29" w14:textId="33A655C3" w:rsidR="00AF5D42" w:rsidRDefault="007000B0" w:rsidP="00AF5D42">
      <w:r>
        <w:t xml:space="preserve">As discussed in </w:t>
      </w:r>
      <w:r w:rsidR="00237F94">
        <w:t>the Summary of Results (Section</w:t>
      </w:r>
      <w:r>
        <w:t xml:space="preserve"> </w:t>
      </w:r>
      <w:r>
        <w:fldChar w:fldCharType="begin"/>
      </w:r>
      <w:r>
        <w:instrText xml:space="preserve"> REF _Ref52397880 \r \h </w:instrText>
      </w:r>
      <w:r>
        <w:fldChar w:fldCharType="separate"/>
      </w:r>
      <w:r w:rsidR="00F573DA">
        <w:t>4.3</w:t>
      </w:r>
      <w:r>
        <w:fldChar w:fldCharType="end"/>
      </w:r>
      <w:r w:rsidR="00237F94">
        <w:t>)</w:t>
      </w:r>
      <w:r>
        <w:t xml:space="preserve">, the </w:t>
      </w:r>
      <w:r w:rsidR="00237F94">
        <w:t xml:space="preserve">residential programs should be considered in </w:t>
      </w:r>
      <w:r w:rsidR="001F260D">
        <w:t>three</w:t>
      </w:r>
      <w:r w:rsidR="00237F94">
        <w:t xml:space="preserve"> </w:t>
      </w:r>
      <w:r w:rsidR="366F52C8">
        <w:t>distinct modeling iterations</w:t>
      </w:r>
      <w:r w:rsidR="00237F94">
        <w:t>. First the HER program is assessed in isolation, then the four remaining programs are considered together</w:t>
      </w:r>
      <w:r w:rsidR="00241C25">
        <w:t xml:space="preserve">, and finally all programs are combined in a single analysis. For purposes of characterizing the bill impacts from the residential programs, the results of the </w:t>
      </w:r>
      <w:r w:rsidR="5D55697C">
        <w:t xml:space="preserve">first model </w:t>
      </w:r>
      <w:r w:rsidR="00AF5D42">
        <w:t xml:space="preserve">illustrate </w:t>
      </w:r>
      <w:r w:rsidR="0064480A">
        <w:t xml:space="preserve">that for the HER program in isolation, there is minimal change in </w:t>
      </w:r>
      <w:r w:rsidR="00311F6F">
        <w:t xml:space="preserve">long-term average bills, with only a </w:t>
      </w:r>
      <w:r w:rsidR="00F95E67">
        <w:t>0.</w:t>
      </w:r>
      <w:r w:rsidR="007409E3">
        <w:t>0</w:t>
      </w:r>
      <w:r w:rsidR="002536D9">
        <w:t>2</w:t>
      </w:r>
      <w:r w:rsidR="00F67527">
        <w:t xml:space="preserve">% </w:t>
      </w:r>
      <w:r w:rsidR="00311F6F">
        <w:t>reduction for participants.</w:t>
      </w:r>
      <w:r w:rsidR="0064480A">
        <w:t xml:space="preserve"> </w:t>
      </w:r>
      <w:r w:rsidR="109149C9">
        <w:t>This result is reasonable given the short duration of savings for the HERs program and the small per-participant savings generated by this program.</w:t>
      </w:r>
    </w:p>
    <w:p w14:paraId="1BF199A0" w14:textId="5074FC7D" w:rsidR="00AF5D42" w:rsidRPr="003917BE" w:rsidRDefault="00AF5D42" w:rsidP="003917BE">
      <w:pPr>
        <w:pStyle w:val="Heading3"/>
      </w:pPr>
      <w:bookmarkStart w:id="15" w:name="_Toc115442345"/>
      <w:r w:rsidRPr="003917BE">
        <w:t>Income Eligible</w:t>
      </w:r>
      <w:bookmarkEnd w:id="15"/>
    </w:p>
    <w:p w14:paraId="1E9F57A8" w14:textId="23725181" w:rsidR="00AF5D42" w:rsidRDefault="00AF5D42" w:rsidP="00A6298E">
      <w:r>
        <w:t xml:space="preserve">The Income Eligible sector is modeled using rates from </w:t>
      </w:r>
      <w:r w:rsidR="00EB6A8A">
        <w:t>R</w:t>
      </w:r>
      <w:r>
        <w:t xml:space="preserve">ate </w:t>
      </w:r>
      <w:r w:rsidR="00EB6A8A">
        <w:t>C</w:t>
      </w:r>
      <w:r>
        <w:t>lass 13, low</w:t>
      </w:r>
      <w:r w:rsidR="001215FE">
        <w:t>-</w:t>
      </w:r>
      <w:r>
        <w:t xml:space="preserve">income residential heating. The rate and bill </w:t>
      </w:r>
      <w:proofErr w:type="gramStart"/>
      <w:r>
        <w:t>impacts</w:t>
      </w:r>
      <w:proofErr w:type="gramEnd"/>
      <w:r>
        <w:t xml:space="preserve"> for this sector are modeled for two primary programs, th</w:t>
      </w:r>
      <w:r w:rsidR="006A69EC">
        <w:t>e</w:t>
      </w:r>
      <w:r>
        <w:t xml:space="preserve"> </w:t>
      </w:r>
      <w:r w:rsidR="006A69EC">
        <w:t>S</w:t>
      </w:r>
      <w:r>
        <w:t xml:space="preserve">ingle </w:t>
      </w:r>
      <w:r w:rsidR="006A69EC">
        <w:t>F</w:t>
      </w:r>
      <w:r>
        <w:t>amily</w:t>
      </w:r>
      <w:r w:rsidR="00432D24">
        <w:t xml:space="preserve"> Income Eligible</w:t>
      </w:r>
      <w:r>
        <w:t xml:space="preserve"> and </w:t>
      </w:r>
      <w:r w:rsidR="006A69EC">
        <w:t>I</w:t>
      </w:r>
      <w:r>
        <w:t xml:space="preserve">ncome </w:t>
      </w:r>
      <w:r w:rsidR="006A69EC">
        <w:t>E</w:t>
      </w:r>
      <w:r>
        <w:t xml:space="preserve">ligible </w:t>
      </w:r>
      <w:r w:rsidR="006A69EC">
        <w:t>M</w:t>
      </w:r>
      <w:r>
        <w:t xml:space="preserve">ultifamily programs. Income eligible customers also participate in the </w:t>
      </w:r>
      <w:r w:rsidR="00C33D90">
        <w:t xml:space="preserve">HERs </w:t>
      </w:r>
      <w:r>
        <w:t xml:space="preserve">that is modeled as part of the residential sector in this analysis. The income eligible sector is modeled using an annual consumption figure of </w:t>
      </w:r>
      <w:r w:rsidR="006778C9">
        <w:t>772</w:t>
      </w:r>
      <w:r>
        <w:t xml:space="preserve"> therms per year, of which </w:t>
      </w:r>
      <w:r w:rsidR="00A27265">
        <w:t>6</w:t>
      </w:r>
      <w:r w:rsidR="006778C9">
        <w:t>32</w:t>
      </w:r>
      <w:r>
        <w:t xml:space="preserve"> therms are winter usage and </w:t>
      </w:r>
      <w:r w:rsidR="00A27265">
        <w:t>1</w:t>
      </w:r>
      <w:r w:rsidR="006778C9">
        <w:t>41</w:t>
      </w:r>
      <w:r w:rsidR="00A27265">
        <w:t xml:space="preserve"> </w:t>
      </w:r>
      <w:r>
        <w:t>therms are summer usage determined by dividing sales for the sector by meter counts</w:t>
      </w:r>
      <w:r w:rsidR="00A27265">
        <w:t xml:space="preserve"> in 202</w:t>
      </w:r>
      <w:r w:rsidR="006778C9">
        <w:t>4</w:t>
      </w:r>
      <w:r>
        <w:t xml:space="preserve">. The customer population is modeled using latest customer counts as of </w:t>
      </w:r>
      <w:r w:rsidR="00A27265">
        <w:t>May 2022</w:t>
      </w:r>
      <w:r>
        <w:t xml:space="preserve">, </w:t>
      </w:r>
      <w:r w:rsidR="00202F15">
        <w:t>24,278</w:t>
      </w:r>
      <w:r>
        <w:t xml:space="preserve"> accounts, and projected forward based on observed compound annual growth rate of customers in this rate class between 201</w:t>
      </w:r>
      <w:r w:rsidR="00202F15">
        <w:t>7</w:t>
      </w:r>
      <w:r>
        <w:t xml:space="preserve"> and 202</w:t>
      </w:r>
      <w:r w:rsidR="00202F15">
        <w:t>2</w:t>
      </w:r>
      <w:r>
        <w:t>.</w:t>
      </w:r>
    </w:p>
    <w:p w14:paraId="61F29B46" w14:textId="77777777" w:rsidR="00AF5D42" w:rsidRPr="003917BE" w:rsidRDefault="00AF5D42" w:rsidP="003917BE">
      <w:pPr>
        <w:pStyle w:val="Heading4"/>
      </w:pPr>
      <w:r w:rsidRPr="003917BE">
        <w:t>Income Eligible Rates</w:t>
      </w:r>
    </w:p>
    <w:p w14:paraId="333BC511" w14:textId="2EBB2540" w:rsidR="00AF5D42" w:rsidRDefault="00AF5D42" w:rsidP="00A6298E">
      <w:r>
        <w:t>The 202</w:t>
      </w:r>
      <w:r w:rsidR="00480848">
        <w:t>4</w:t>
      </w:r>
      <w:r>
        <w:t xml:space="preserve"> programs addressing the income eligible market are projected to result in a </w:t>
      </w:r>
      <w:r w:rsidR="009D3200">
        <w:t>0.</w:t>
      </w:r>
      <w:r w:rsidR="00D775C6">
        <w:t>4</w:t>
      </w:r>
      <w:r w:rsidR="00F36B05">
        <w:t>9</w:t>
      </w:r>
      <w:r>
        <w:t>% levelized increase in rates for the income eligible sector</w:t>
      </w:r>
      <w:r w:rsidR="00151B49">
        <w:t>.</w:t>
      </w:r>
      <w:r>
        <w:t xml:space="preserve"> </w:t>
      </w:r>
      <w:r w:rsidR="004F15C0">
        <w:t>Compared to the residential sector, which has similar usage as the income eligible sector, the relative impact to rates is larger</w:t>
      </w:r>
      <w:r w:rsidR="001A6ED5">
        <w:t xml:space="preserve"> for this customer group</w:t>
      </w:r>
      <w:r w:rsidR="004F15C0">
        <w:t xml:space="preserve"> partially because the energy efficiency charge represents a larger portion of the overall per-therm cost</w:t>
      </w:r>
      <w:r w:rsidR="00A771DE">
        <w:t xml:space="preserve"> because distribution adjustment charges (DAC) are lower for income eligible customers than residential customers.</w:t>
      </w:r>
    </w:p>
    <w:p w14:paraId="02A1264A" w14:textId="3A5F1111" w:rsidR="00AF5D42" w:rsidRPr="00AC2BE2" w:rsidRDefault="00AF5D42" w:rsidP="003917BE">
      <w:pPr>
        <w:pStyle w:val="Heading4"/>
      </w:pPr>
      <w:r w:rsidRPr="00AC2BE2">
        <w:t xml:space="preserve">Income </w:t>
      </w:r>
      <w:r w:rsidR="006A69EC">
        <w:t>E</w:t>
      </w:r>
      <w:r w:rsidRPr="00AC2BE2">
        <w:t>ligible Bills</w:t>
      </w:r>
    </w:p>
    <w:p w14:paraId="7B4694AF" w14:textId="476D4E97" w:rsidR="00AF5D42" w:rsidRPr="00674173" w:rsidRDefault="00AF5D42" w:rsidP="00AF5D42">
      <w:r>
        <w:t>The income eligible programs planned in the 202</w:t>
      </w:r>
      <w:r w:rsidR="004B68EE">
        <w:t>4</w:t>
      </w:r>
      <w:r>
        <w:t xml:space="preserve"> plan will result in a long-term average reduction in bills for participating customers of </w:t>
      </w:r>
      <w:r w:rsidR="009D35BE">
        <w:t>3.</w:t>
      </w:r>
      <w:r w:rsidR="00B455BB">
        <w:t>33</w:t>
      </w:r>
      <w:r>
        <w:t xml:space="preserve">% on average. Average customers will see a </w:t>
      </w:r>
      <w:r w:rsidR="007834CD">
        <w:t>0.</w:t>
      </w:r>
      <w:r w:rsidR="00B455BB">
        <w:t>04</w:t>
      </w:r>
      <w:r>
        <w:t xml:space="preserve">% </w:t>
      </w:r>
      <w:r w:rsidR="00B455BB">
        <w:t xml:space="preserve">decrease </w:t>
      </w:r>
      <w:r>
        <w:t xml:space="preserve">in annual bills and non-participants will see a </w:t>
      </w:r>
      <w:r w:rsidR="000B4E62">
        <w:t>0.</w:t>
      </w:r>
      <w:r w:rsidR="0050159B">
        <w:t>5</w:t>
      </w:r>
      <w:r w:rsidR="00E03CE3">
        <w:t>0</w:t>
      </w:r>
      <w:r w:rsidR="000B4E62">
        <w:t xml:space="preserve">% </w:t>
      </w:r>
      <w:r>
        <w:t>increase in bills.</w:t>
      </w:r>
    </w:p>
    <w:p w14:paraId="5913F202" w14:textId="6B4416C2" w:rsidR="00AF5D42" w:rsidRPr="00674173" w:rsidRDefault="00AF5D42" w:rsidP="0034557F">
      <w:r>
        <w:t xml:space="preserve">Analyzing each program individually, participants in the </w:t>
      </w:r>
      <w:r w:rsidR="00432D24">
        <w:t>I</w:t>
      </w:r>
      <w:r>
        <w:t xml:space="preserve">ncome </w:t>
      </w:r>
      <w:r w:rsidR="00432D24">
        <w:t>E</w:t>
      </w:r>
      <w:r>
        <w:t xml:space="preserve">ligible </w:t>
      </w:r>
      <w:proofErr w:type="gramStart"/>
      <w:r w:rsidR="00785893">
        <w:t>Single Family</w:t>
      </w:r>
      <w:proofErr w:type="gramEnd"/>
      <w:r w:rsidR="00785893">
        <w:t xml:space="preserve"> </w:t>
      </w:r>
      <w:r>
        <w:t xml:space="preserve">program will see an average of </w:t>
      </w:r>
      <w:r w:rsidR="000D54EE">
        <w:t>6.05</w:t>
      </w:r>
      <w:r w:rsidR="006C66F2">
        <w:t xml:space="preserve">% </w:t>
      </w:r>
      <w:r>
        <w:t>reduction in annual bills due to their 202</w:t>
      </w:r>
      <w:r w:rsidR="000D54EE">
        <w:t>4</w:t>
      </w:r>
      <w:r w:rsidR="008E7EC8">
        <w:t xml:space="preserve"> </w:t>
      </w:r>
      <w:r>
        <w:t>participation.</w:t>
      </w:r>
      <w:r w:rsidR="008E0937">
        <w:t xml:space="preserve"> Participants in the Income Eligible Multifamily program will see an average of </w:t>
      </w:r>
      <w:r w:rsidR="000D54EE">
        <w:t>1.55</w:t>
      </w:r>
      <w:r w:rsidR="009427BC">
        <w:t>% reduction in annual bills due to their 202</w:t>
      </w:r>
      <w:r w:rsidR="000D54EE">
        <w:t>4</w:t>
      </w:r>
      <w:r w:rsidR="009427BC">
        <w:t xml:space="preserve"> participation.</w:t>
      </w:r>
    </w:p>
    <w:p w14:paraId="6D3827F1" w14:textId="4134D748" w:rsidR="00AF5D42" w:rsidRPr="00AC2BE2" w:rsidRDefault="00AF5D42" w:rsidP="003917BE">
      <w:pPr>
        <w:pStyle w:val="Heading3"/>
      </w:pPr>
      <w:bookmarkStart w:id="16" w:name="_Toc115442346"/>
      <w:r w:rsidRPr="00AC2BE2">
        <w:t>Small Commercial and Industrial</w:t>
      </w:r>
      <w:bookmarkEnd w:id="16"/>
    </w:p>
    <w:p w14:paraId="1E613400" w14:textId="638783F1" w:rsidR="00AF5D42" w:rsidRPr="00030883" w:rsidRDefault="00AF5D42" w:rsidP="00A6298E">
      <w:r>
        <w:t xml:space="preserve">The Small Commercial and Industrial sector is modeled using rates from </w:t>
      </w:r>
      <w:r w:rsidR="00650998">
        <w:t>R</w:t>
      </w:r>
      <w:r>
        <w:t xml:space="preserve">ate </w:t>
      </w:r>
      <w:r w:rsidR="00650998">
        <w:t>C</w:t>
      </w:r>
      <w:r>
        <w:t xml:space="preserve">lass 21, </w:t>
      </w:r>
      <w:r w:rsidRPr="00030883">
        <w:t>Small (&lt; 5,000/yr)</w:t>
      </w:r>
      <w:r>
        <w:t xml:space="preserve">. The rate and bill </w:t>
      </w:r>
      <w:proofErr w:type="gramStart"/>
      <w:r>
        <w:t>impacts</w:t>
      </w:r>
      <w:proofErr w:type="gramEnd"/>
      <w:r>
        <w:t xml:space="preserve"> for this sector are modeled for the Small Business Direct Install program. The Small Commercial and Industrial sector is modeled using an annual consumption figure of </w:t>
      </w:r>
      <w:r w:rsidR="003D1633">
        <w:t>1</w:t>
      </w:r>
      <w:r w:rsidR="0099592E">
        <w:t>,</w:t>
      </w:r>
      <w:r w:rsidR="00BF683A">
        <w:t>369</w:t>
      </w:r>
      <w:r w:rsidR="003D1633">
        <w:t xml:space="preserve"> </w:t>
      </w:r>
      <w:r>
        <w:t xml:space="preserve">therms per year, of which </w:t>
      </w:r>
      <w:r w:rsidR="0099592E">
        <w:t>1,</w:t>
      </w:r>
      <w:r w:rsidR="009E5438">
        <w:t>164</w:t>
      </w:r>
      <w:r w:rsidR="0099592E">
        <w:t xml:space="preserve"> </w:t>
      </w:r>
      <w:r>
        <w:t xml:space="preserve">therms are winter usage and </w:t>
      </w:r>
      <w:r w:rsidR="009E5438">
        <w:t>205</w:t>
      </w:r>
      <w:r w:rsidR="0099592E">
        <w:t xml:space="preserve"> t</w:t>
      </w:r>
      <w:r>
        <w:t>herms are summer usage determined by dividing sales for the sector by meter counts</w:t>
      </w:r>
      <w:r w:rsidR="0099592E">
        <w:t xml:space="preserve"> in 202</w:t>
      </w:r>
      <w:r w:rsidR="009E5438">
        <w:t>4</w:t>
      </w:r>
      <w:r>
        <w:t>.</w:t>
      </w:r>
      <w:r w:rsidRPr="00030883">
        <w:t xml:space="preserve"> </w:t>
      </w:r>
      <w:r>
        <w:t>The customer population is modeled using latest customer counts as of</w:t>
      </w:r>
      <w:r w:rsidR="00BC53A8">
        <w:t xml:space="preserve"> May 2022</w:t>
      </w:r>
      <w:r>
        <w:t xml:space="preserve">, </w:t>
      </w:r>
      <w:r w:rsidR="00BC53A8">
        <w:t>19,070 a</w:t>
      </w:r>
      <w:r>
        <w:t>ccounts, and projected forward based on observed compound annual growth rate of customers in this rate class between 201</w:t>
      </w:r>
      <w:r w:rsidR="00BC53A8">
        <w:t>7</w:t>
      </w:r>
      <w:r>
        <w:t xml:space="preserve"> and 202</w:t>
      </w:r>
      <w:r w:rsidR="00BC53A8">
        <w:t>2</w:t>
      </w:r>
      <w:r>
        <w:t xml:space="preserve">. </w:t>
      </w:r>
    </w:p>
    <w:p w14:paraId="1214A9C3" w14:textId="77777777" w:rsidR="00AF5D42" w:rsidRPr="003917BE" w:rsidRDefault="00AF5D42" w:rsidP="003917BE">
      <w:pPr>
        <w:pStyle w:val="Heading4"/>
      </w:pPr>
      <w:r w:rsidRPr="003917BE">
        <w:t>Small Commercial and Industrial Rates</w:t>
      </w:r>
    </w:p>
    <w:p w14:paraId="7D35F274" w14:textId="01E994F0" w:rsidR="00AF5D42" w:rsidRPr="00FF3AE8" w:rsidRDefault="00AF5D42" w:rsidP="00A6298E">
      <w:r>
        <w:t>The 202</w:t>
      </w:r>
      <w:r w:rsidR="008F6CB3">
        <w:t>3</w:t>
      </w:r>
      <w:r w:rsidR="00886FFF">
        <w:t xml:space="preserve"> </w:t>
      </w:r>
      <w:r>
        <w:t xml:space="preserve">program addressing the small C&amp;I market are projected to result in a </w:t>
      </w:r>
      <w:r w:rsidR="001714C8">
        <w:t>0.2</w:t>
      </w:r>
      <w:r w:rsidR="00F36B05">
        <w:t>5</w:t>
      </w:r>
      <w:r>
        <w:t>%</w:t>
      </w:r>
      <w:r w:rsidRPr="0082360A">
        <w:t xml:space="preserve"> </w:t>
      </w:r>
      <w:r>
        <w:t>levelized increase in rates for the commercial and industrial sector</w:t>
      </w:r>
      <w:r w:rsidR="006313DE">
        <w:t>.</w:t>
      </w:r>
    </w:p>
    <w:p w14:paraId="19A35556" w14:textId="77777777" w:rsidR="00AF5D42" w:rsidRPr="00AC2BE2" w:rsidRDefault="00AF5D42" w:rsidP="003917BE">
      <w:pPr>
        <w:pStyle w:val="Heading4"/>
      </w:pPr>
      <w:r w:rsidRPr="00AC2BE2">
        <w:t>Small Commercial and Industrial Bills</w:t>
      </w:r>
    </w:p>
    <w:p w14:paraId="70967B8A" w14:textId="51E975D7" w:rsidR="00AF5D42" w:rsidRPr="00FF3AE8" w:rsidRDefault="00AF5D42" w:rsidP="00AF5D42">
      <w:r>
        <w:t xml:space="preserve">The Small Commercial and Industrial program will result in an average annual bill reduction of </w:t>
      </w:r>
      <w:r w:rsidR="003C4134">
        <w:t>2</w:t>
      </w:r>
      <w:r w:rsidR="002A1AE2">
        <w:t>4</w:t>
      </w:r>
      <w:r w:rsidR="0066185F">
        <w:t>.5</w:t>
      </w:r>
      <w:r>
        <w:t>% for participants in the Small Business Direct Install progra</w:t>
      </w:r>
      <w:r w:rsidR="00F67527">
        <w:t>m.</w:t>
      </w:r>
    </w:p>
    <w:p w14:paraId="580E4F06" w14:textId="4B726B45" w:rsidR="00AF5D42" w:rsidRPr="00AC2BE2" w:rsidRDefault="00AF5D42" w:rsidP="003917BE">
      <w:pPr>
        <w:pStyle w:val="Heading3"/>
      </w:pPr>
      <w:bookmarkStart w:id="17" w:name="_Toc115442347"/>
      <w:r w:rsidRPr="00AC2BE2">
        <w:t>Large Commercial and Industrial</w:t>
      </w:r>
      <w:bookmarkEnd w:id="17"/>
    </w:p>
    <w:p w14:paraId="37FA769E" w14:textId="5D3C563B" w:rsidR="00AF5D42" w:rsidRPr="00030883" w:rsidRDefault="00AF5D42" w:rsidP="00A6298E">
      <w:r>
        <w:t xml:space="preserve">The Large Commercial and Industrial sector is modeled using rates from </w:t>
      </w:r>
      <w:r w:rsidR="00650998">
        <w:t>R</w:t>
      </w:r>
      <w:r>
        <w:t xml:space="preserve">ate </w:t>
      </w:r>
      <w:r w:rsidR="00650998">
        <w:t>C</w:t>
      </w:r>
      <w:r>
        <w:t>lasses</w:t>
      </w:r>
      <w:r w:rsidRPr="00030883">
        <w:t xml:space="preserve"> 22,</w:t>
      </w:r>
      <w:r w:rsidR="00650998">
        <w:t xml:space="preserve"> </w:t>
      </w:r>
      <w:r w:rsidRPr="00030883">
        <w:t>33,</w:t>
      </w:r>
      <w:r w:rsidR="00650998">
        <w:t xml:space="preserve"> </w:t>
      </w:r>
      <w:r w:rsidRPr="00030883">
        <w:t>23,</w:t>
      </w:r>
      <w:r w:rsidR="00650998">
        <w:t xml:space="preserve"> </w:t>
      </w:r>
      <w:r w:rsidRPr="00030883">
        <w:t>34,</w:t>
      </w:r>
      <w:r w:rsidR="00650998">
        <w:t xml:space="preserve"> and </w:t>
      </w:r>
      <w:r w:rsidRPr="00030883">
        <w:t>24</w:t>
      </w:r>
      <w:r>
        <w:t>. The rate and bill impacts for this sector are modeled for the Commercial New Construction, Commercial Retrofit, and Commercial Multi-family programs.</w:t>
      </w:r>
      <w:r w:rsidRPr="00030883">
        <w:t xml:space="preserve"> </w:t>
      </w:r>
      <w:r w:rsidR="00A12720">
        <w:t xml:space="preserve">The Large Commercial and Industrial sector is modeled using an annual consumption figure of </w:t>
      </w:r>
      <w:r w:rsidR="00AE0308">
        <w:t>544</w:t>
      </w:r>
      <w:r w:rsidR="005B27E1">
        <w:t>,4</w:t>
      </w:r>
      <w:r w:rsidR="008F6CB3">
        <w:t>29</w:t>
      </w:r>
      <w:r w:rsidR="005B27E1">
        <w:t xml:space="preserve"> </w:t>
      </w:r>
      <w:r w:rsidR="00A12720">
        <w:t xml:space="preserve">therms per year, of which </w:t>
      </w:r>
      <w:r w:rsidR="005B27E1">
        <w:t xml:space="preserve">300,304 </w:t>
      </w:r>
      <w:r w:rsidR="00A12720">
        <w:t xml:space="preserve">therms are winter usage and </w:t>
      </w:r>
      <w:r w:rsidR="005B27E1">
        <w:t xml:space="preserve">244,125 </w:t>
      </w:r>
      <w:r w:rsidR="00A12720">
        <w:t>therms are summer usage determined by dividing sales for the sector by meter counts.</w:t>
      </w:r>
      <w:r w:rsidR="00A12720" w:rsidRPr="00030883">
        <w:t xml:space="preserve"> </w:t>
      </w:r>
      <w:r>
        <w:t xml:space="preserve">The customer population is modeled using latest customer counts as of </w:t>
      </w:r>
      <w:r w:rsidR="00D23C8A">
        <w:t>May 2022</w:t>
      </w:r>
      <w:r>
        <w:t xml:space="preserve">, </w:t>
      </w:r>
      <w:r w:rsidR="00D23C8A">
        <w:t xml:space="preserve">5,854 </w:t>
      </w:r>
      <w:r>
        <w:t>accounts, and projected forward based on observed compound annual growth rate of customers in this rate class between 201</w:t>
      </w:r>
      <w:r w:rsidR="00CC1067">
        <w:t>7</w:t>
      </w:r>
      <w:r>
        <w:t xml:space="preserve"> and 202</w:t>
      </w:r>
      <w:r w:rsidR="00CC1067">
        <w:t>2</w:t>
      </w:r>
      <w:r>
        <w:t xml:space="preserve">. Consumption among participants is modeled using usage observed among the large C&amp;I program participants </w:t>
      </w:r>
      <w:r w:rsidR="00F26896">
        <w:t xml:space="preserve">and </w:t>
      </w:r>
      <w:r w:rsidR="005F0B89">
        <w:t>for</w:t>
      </w:r>
      <w:r w:rsidR="001B7CED">
        <w:t xml:space="preserve"> the medium C&amp;I class</w:t>
      </w:r>
      <w:r w:rsidR="006D5762">
        <w:t xml:space="preserve"> for </w:t>
      </w:r>
      <w:r w:rsidR="005F0B89">
        <w:t>C&amp;I multifamily participants</w:t>
      </w:r>
      <w:r w:rsidR="00F26896">
        <w:t xml:space="preserve"> using the FY2021 Gas ISR Plan</w:t>
      </w:r>
      <w:r w:rsidR="006D5762">
        <w:t>.</w:t>
      </w:r>
      <w:r w:rsidR="005F0B89">
        <w:t xml:space="preserve"> </w:t>
      </w:r>
    </w:p>
    <w:p w14:paraId="1EA55248" w14:textId="77777777" w:rsidR="00AF5D42" w:rsidRPr="00AC2BE2" w:rsidRDefault="00AF5D42" w:rsidP="003917BE">
      <w:pPr>
        <w:pStyle w:val="Heading4"/>
      </w:pPr>
      <w:r w:rsidRPr="00AC2BE2">
        <w:t>Large Commercial and Industrial Rates</w:t>
      </w:r>
    </w:p>
    <w:p w14:paraId="315B9A7E" w14:textId="4FE68A39" w:rsidR="00AF5D42" w:rsidRPr="00A1787F" w:rsidRDefault="00AF5D42" w:rsidP="00A6298E">
      <w:r>
        <w:t>The 202</w:t>
      </w:r>
      <w:r w:rsidR="00F67527">
        <w:t>3</w:t>
      </w:r>
      <w:r>
        <w:t xml:space="preserve"> programs addressing the large C&amp;I market are projected to result in a </w:t>
      </w:r>
      <w:r w:rsidR="007D2A80">
        <w:t>0.3</w:t>
      </w:r>
      <w:r w:rsidR="00F36B05">
        <w:t>5</w:t>
      </w:r>
      <w:r>
        <w:t>% levelized increase in rates for the commercial and industrial sector.</w:t>
      </w:r>
    </w:p>
    <w:p w14:paraId="2242A825" w14:textId="77777777" w:rsidR="00AF5D42" w:rsidRPr="00AC2BE2" w:rsidRDefault="00AF5D42" w:rsidP="003917BE">
      <w:pPr>
        <w:pStyle w:val="Heading4"/>
      </w:pPr>
      <w:r w:rsidRPr="00AC2BE2">
        <w:t>Large Commercial and Industrial Bills</w:t>
      </w:r>
    </w:p>
    <w:p w14:paraId="72395B25" w14:textId="4C4F20FD" w:rsidR="00AF5D42" w:rsidRDefault="00AF5D42" w:rsidP="00AF5D42">
      <w:r>
        <w:t xml:space="preserve">The large commercial and industrial programs will result in an average annual bill reduction of </w:t>
      </w:r>
      <w:r w:rsidR="00935DF1">
        <w:t>3.</w:t>
      </w:r>
      <w:r w:rsidR="007D286F">
        <w:t>01</w:t>
      </w:r>
      <w:r w:rsidR="00354963">
        <w:t>%</w:t>
      </w:r>
      <w:r>
        <w:t xml:space="preserve"> for </w:t>
      </w:r>
      <w:proofErr w:type="gramStart"/>
      <w:r>
        <w:t>participants</w:t>
      </w:r>
      <w:proofErr w:type="gramEnd"/>
      <w:r>
        <w:t xml:space="preserve"> </w:t>
      </w:r>
    </w:p>
    <w:p w14:paraId="42E0CCF0" w14:textId="635A71EA" w:rsidR="00AF5D42" w:rsidRDefault="00AF5D42" w:rsidP="00AF5D42">
      <w:r>
        <w:t>Analyzing each program individually,</w:t>
      </w:r>
      <w:r w:rsidR="004E131A">
        <w:t xml:space="preserve"> Large C</w:t>
      </w:r>
      <w:r>
        <w:t xml:space="preserve">ommercial </w:t>
      </w:r>
      <w:r w:rsidR="004E131A">
        <w:t>R</w:t>
      </w:r>
      <w:r>
        <w:t xml:space="preserve">etrofit participants will see a reduction of </w:t>
      </w:r>
      <w:r w:rsidR="00A81642">
        <w:t>0.56</w:t>
      </w:r>
      <w:r>
        <w:t xml:space="preserve">%, while participants in the </w:t>
      </w:r>
      <w:r w:rsidR="00D446E1">
        <w:t>Large C</w:t>
      </w:r>
      <w:r>
        <w:t xml:space="preserve">ommercial </w:t>
      </w:r>
      <w:r w:rsidR="00D446E1">
        <w:t>N</w:t>
      </w:r>
      <w:r>
        <w:t xml:space="preserve">ew </w:t>
      </w:r>
      <w:r w:rsidR="00D446E1">
        <w:t>C</w:t>
      </w:r>
      <w:r>
        <w:t>onstruction program</w:t>
      </w:r>
      <w:r w:rsidR="00A81642">
        <w:t xml:space="preserve"> will see a reduction of 0.29%,</w:t>
      </w:r>
      <w:r>
        <w:t xml:space="preserve"> and</w:t>
      </w:r>
      <w:r w:rsidR="00A81642">
        <w:t xml:space="preserve"> a </w:t>
      </w:r>
      <w:r w:rsidR="005F5168">
        <w:t>0.15% reduction for the</w:t>
      </w:r>
      <w:r>
        <w:t xml:space="preserve"> </w:t>
      </w:r>
      <w:r w:rsidR="00D446E1">
        <w:t>C</w:t>
      </w:r>
      <w:r>
        <w:t xml:space="preserve">ommercial </w:t>
      </w:r>
      <w:r w:rsidR="00D446E1">
        <w:t>Multifamily</w:t>
      </w:r>
      <w:r>
        <w:t xml:space="preserve"> program.</w:t>
      </w:r>
    </w:p>
    <w:p w14:paraId="288DE4EC" w14:textId="5D6FEA18" w:rsidR="00AF5D42" w:rsidRPr="007557C0" w:rsidRDefault="00AF5D42" w:rsidP="007557C0">
      <w:pPr>
        <w:pStyle w:val="Heading4"/>
      </w:pPr>
      <w:r w:rsidRPr="007557C0">
        <w:t>Discussion and Interpretation of</w:t>
      </w:r>
      <w:r w:rsidR="00DF6A60" w:rsidRPr="007557C0">
        <w:t xml:space="preserve"> </w:t>
      </w:r>
      <w:r w:rsidR="006E4144" w:rsidRPr="007557C0">
        <w:t xml:space="preserve">Natural </w:t>
      </w:r>
      <w:r w:rsidR="00DF6A60" w:rsidRPr="007557C0">
        <w:t>Gas</w:t>
      </w:r>
      <w:r w:rsidRPr="007557C0">
        <w:t xml:space="preserve"> Results</w:t>
      </w:r>
    </w:p>
    <w:p w14:paraId="669403A1" w14:textId="456993B0" w:rsidR="00AF5D42" w:rsidRPr="003367C8" w:rsidRDefault="001D6D58" w:rsidP="00AF5D42">
      <w:r>
        <w:t xml:space="preserve">For </w:t>
      </w:r>
      <w:r w:rsidR="005F6AA8">
        <w:t xml:space="preserve">each customer </w:t>
      </w:r>
      <w:r w:rsidR="00DA6734">
        <w:t>segment</w:t>
      </w:r>
      <w:r>
        <w:t xml:space="preserve"> the modeling shows </w:t>
      </w:r>
      <w:r w:rsidR="00866B11">
        <w:t>reductions in long</w:t>
      </w:r>
      <w:r w:rsidR="009B7D14">
        <w:t>-</w:t>
      </w:r>
      <w:r w:rsidR="00866B11">
        <w:t xml:space="preserve">term bills due to </w:t>
      </w:r>
      <w:r w:rsidR="00BC0C31">
        <w:t xml:space="preserve">customer </w:t>
      </w:r>
      <w:r w:rsidR="00866B11">
        <w:t>participati</w:t>
      </w:r>
      <w:r w:rsidR="00BC0C31">
        <w:t>on</w:t>
      </w:r>
      <w:r w:rsidR="00866B11">
        <w:t xml:space="preserve"> in the programs. </w:t>
      </w:r>
      <w:r w:rsidR="00FC060F">
        <w:t>In addition to the rate and bill impacts, the Company considers</w:t>
      </w:r>
      <w:r w:rsidR="00A129CB">
        <w:t xml:space="preserve"> both the benefit cost results and the cost of supply in developing its proposal.</w:t>
      </w:r>
      <w:r w:rsidR="00AF5D42">
        <w:t xml:space="preserve"> The portfolio of programs is highly cost </w:t>
      </w:r>
      <w:r w:rsidR="00AF5D42" w:rsidRPr="003367C8">
        <w:t xml:space="preserve">effective per the RI Test analysis and less than the cost of supply. </w:t>
      </w:r>
    </w:p>
    <w:p w14:paraId="575C25C8" w14:textId="527080D3" w:rsidR="00AF5D42" w:rsidRDefault="00AF5D42" w:rsidP="00AF5D42">
      <w:r w:rsidRPr="003367C8">
        <w:t>Note that</w:t>
      </w:r>
      <w:r>
        <w:t xml:space="preserve"> the RBI model excludes several key benefits of energy efficiency. For example, the price of carbon is not fully accounted for in </w:t>
      </w:r>
      <w:r w:rsidR="00782A19">
        <w:t>Rhode Island Energy</w:t>
      </w:r>
      <w:r>
        <w:t>’s natural gas rates. Efficiency programs reduce carbon and other greenhouse gas emissions, which is not accounted in this model but is accounted for in the BCA</w:t>
      </w:r>
      <w:r w:rsidR="00FF1050">
        <w:t xml:space="preserve"> as a non-embedded benefit</w:t>
      </w:r>
      <w:r>
        <w:t xml:space="preserve">. Likewise, the gas efficiency programs create non-energy benefits that are not accounted for in this model but are included in the BCA. </w:t>
      </w:r>
    </w:p>
    <w:p w14:paraId="052251E3" w14:textId="7F883BF1" w:rsidR="00AF5D42" w:rsidRDefault="0016144D" w:rsidP="00AF5D42">
      <w:r>
        <w:t>As noted earlier, a key distinction between the gas model and the related electric model is the limited set of</w:t>
      </w:r>
      <w:r w:rsidR="00AF5D42">
        <w:t xml:space="preserve"> gas avoided costs. </w:t>
      </w:r>
      <w:r w:rsidR="00AF5D42" w:rsidRPr="005147C2">
        <w:t xml:space="preserve">The portion of the natural gas avoided cost that impacts rates is limited to the avoided retail margin costs, and price suppression benefits (Demand Reduction Induced Price Effects or </w:t>
      </w:r>
      <w:r w:rsidR="000039C8">
        <w:t>“</w:t>
      </w:r>
      <w:r w:rsidR="00AF5D42" w:rsidRPr="005147C2">
        <w:t>DRIPE</w:t>
      </w:r>
      <w:r w:rsidR="000039C8">
        <w:t>”)</w:t>
      </w:r>
      <w:r w:rsidR="00AF5D42">
        <w:t xml:space="preserve">. In contrast, in the electric model there are embedded RGGI costs in rates and the electric model also accounts for T&amp;D avoided costs. The gas model has the capability to incorporate a T&amp;D avoided cost in the future should one be developed </w:t>
      </w:r>
      <w:r w:rsidR="006C6055">
        <w:t>in the future</w:t>
      </w:r>
      <w:r w:rsidR="00AF5D42">
        <w:t>, but it is not currently accounted for in the calculation of long</w:t>
      </w:r>
      <w:r w:rsidR="00F06FD7">
        <w:t>-</w:t>
      </w:r>
      <w:r w:rsidR="00AF5D42">
        <w:t>term rates</w:t>
      </w:r>
      <w:r w:rsidR="000039C8">
        <w:t xml:space="preserve"> in the present analysis.</w:t>
      </w:r>
    </w:p>
    <w:p w14:paraId="3E3063FC" w14:textId="5A94BD42" w:rsidR="000039C8" w:rsidRDefault="000039C8" w:rsidP="00AF5D42">
      <w:r>
        <w:t xml:space="preserve">The Company will </w:t>
      </w:r>
      <w:r w:rsidR="006A4735">
        <w:t xml:space="preserve">reassess the inputs and assumptions in this analysis for each subsequent annual efficiency plan </w:t>
      </w:r>
      <w:r w:rsidR="00A073FD">
        <w:t>filing and make updates to the analysis and model as appropriate</w:t>
      </w:r>
      <w:r w:rsidR="00DF3A48">
        <w:t xml:space="preserve"> to continue to incorporate latest information and </w:t>
      </w:r>
      <w:r w:rsidR="00345178">
        <w:t>understanding of the impacts of the gas programs on long-term energy costs and customer bills.</w:t>
      </w:r>
    </w:p>
    <w:sectPr w:rsidR="000039C8" w:rsidSect="003917BE">
      <w:headerReference w:type="default" r:id="rId17"/>
      <w:footerReference w:type="firs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100A4" w14:textId="77777777" w:rsidR="00161057" w:rsidRDefault="00161057" w:rsidP="00E569DF">
      <w:pPr>
        <w:spacing w:after="0" w:line="240" w:lineRule="auto"/>
      </w:pPr>
      <w:r>
        <w:separator/>
      </w:r>
    </w:p>
    <w:p w14:paraId="18124B8E" w14:textId="77777777" w:rsidR="00161057" w:rsidRDefault="00161057"/>
  </w:endnote>
  <w:endnote w:type="continuationSeparator" w:id="0">
    <w:p w14:paraId="5E4FBA74" w14:textId="77777777" w:rsidR="00161057" w:rsidRDefault="00161057" w:rsidP="00E569DF">
      <w:pPr>
        <w:spacing w:after="0" w:line="240" w:lineRule="auto"/>
      </w:pPr>
      <w:r>
        <w:continuationSeparator/>
      </w:r>
    </w:p>
    <w:p w14:paraId="33B0D942" w14:textId="77777777" w:rsidR="00161057" w:rsidRDefault="00161057"/>
  </w:endnote>
  <w:endnote w:type="continuationNotice" w:id="1">
    <w:p w14:paraId="5D61668E" w14:textId="77777777" w:rsidR="00161057" w:rsidRDefault="00161057">
      <w:pPr>
        <w:spacing w:after="0" w:line="240" w:lineRule="auto"/>
      </w:pPr>
    </w:p>
    <w:p w14:paraId="7CA84B12" w14:textId="77777777" w:rsidR="00161057" w:rsidRDefault="001610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A9E" w14:textId="77777777" w:rsidR="0059302D" w:rsidRDefault="005930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654F4" w14:textId="637C900B" w:rsidR="00C00DF7" w:rsidRDefault="00161057" w:rsidP="00E822F1">
    <w:pPr>
      <w:pStyle w:val="Footer"/>
      <w:jc w:val="center"/>
    </w:pPr>
    <w:r>
      <w:fldChar w:fldCharType="begin"/>
    </w:r>
    <w:r>
      <w:instrText>STYLEREF  "Heading 1" \l  \* MERGEFORMAT</w:instrText>
    </w:r>
    <w:r>
      <w:fldChar w:fldCharType="separate"/>
    </w:r>
    <w:r w:rsidR="0089733E">
      <w:rPr>
        <w:noProof/>
      </w:rPr>
      <w:t>Model Inputs</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C7B96BD" w14:paraId="21C14FCD" w14:textId="77777777" w:rsidTr="0C7B96BD">
      <w:trPr>
        <w:trHeight w:val="300"/>
      </w:trPr>
      <w:tc>
        <w:tcPr>
          <w:tcW w:w="3120" w:type="dxa"/>
        </w:tcPr>
        <w:p w14:paraId="35ADB935" w14:textId="70D19FC9" w:rsidR="0C7B96BD" w:rsidRDefault="0C7B96BD" w:rsidP="0C7B96BD">
          <w:pPr>
            <w:pStyle w:val="Header"/>
            <w:ind w:left="-115"/>
          </w:pPr>
        </w:p>
      </w:tc>
      <w:tc>
        <w:tcPr>
          <w:tcW w:w="3120" w:type="dxa"/>
        </w:tcPr>
        <w:p w14:paraId="07B97798" w14:textId="35A23B1D" w:rsidR="0C7B96BD" w:rsidRDefault="0C7B96BD" w:rsidP="0C7B96BD">
          <w:pPr>
            <w:pStyle w:val="Header"/>
            <w:jc w:val="center"/>
          </w:pPr>
        </w:p>
      </w:tc>
      <w:tc>
        <w:tcPr>
          <w:tcW w:w="3120" w:type="dxa"/>
        </w:tcPr>
        <w:p w14:paraId="0ECE2487" w14:textId="69DF9DF3" w:rsidR="0C7B96BD" w:rsidRDefault="0C7B96BD" w:rsidP="0C7B96BD">
          <w:pPr>
            <w:pStyle w:val="Header"/>
            <w:ind w:right="-115"/>
            <w:jc w:val="right"/>
          </w:pPr>
        </w:p>
      </w:tc>
    </w:tr>
  </w:tbl>
  <w:p w14:paraId="20DDD7DE" w14:textId="57C654A2" w:rsidR="0C7B96BD" w:rsidRDefault="0C7B96BD" w:rsidP="0C7B96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C7B96BD" w14:paraId="09FEB9F8" w14:textId="77777777" w:rsidTr="0C7B96BD">
      <w:trPr>
        <w:trHeight w:val="300"/>
      </w:trPr>
      <w:tc>
        <w:tcPr>
          <w:tcW w:w="3120" w:type="dxa"/>
        </w:tcPr>
        <w:p w14:paraId="676D2497" w14:textId="0474BDD6" w:rsidR="0C7B96BD" w:rsidRDefault="0C7B96BD" w:rsidP="0C7B96BD">
          <w:pPr>
            <w:pStyle w:val="Header"/>
            <w:ind w:left="-115"/>
          </w:pPr>
        </w:p>
      </w:tc>
      <w:tc>
        <w:tcPr>
          <w:tcW w:w="3120" w:type="dxa"/>
        </w:tcPr>
        <w:p w14:paraId="7F5BE3D1" w14:textId="6FDAD406" w:rsidR="0C7B96BD" w:rsidRDefault="0C7B96BD" w:rsidP="0C7B96BD">
          <w:pPr>
            <w:pStyle w:val="Header"/>
            <w:jc w:val="center"/>
          </w:pPr>
        </w:p>
      </w:tc>
      <w:tc>
        <w:tcPr>
          <w:tcW w:w="3120" w:type="dxa"/>
        </w:tcPr>
        <w:p w14:paraId="4DF31E3C" w14:textId="172972CA" w:rsidR="0C7B96BD" w:rsidRDefault="0C7B96BD" w:rsidP="0C7B96BD">
          <w:pPr>
            <w:pStyle w:val="Header"/>
            <w:ind w:right="-115"/>
            <w:jc w:val="right"/>
          </w:pPr>
        </w:p>
      </w:tc>
    </w:tr>
  </w:tbl>
  <w:p w14:paraId="75FCF437" w14:textId="7DFBCFE2" w:rsidR="0C7B96BD" w:rsidRDefault="0C7B96BD" w:rsidP="0C7B9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EB1E7" w14:textId="77777777" w:rsidR="00161057" w:rsidRDefault="00161057" w:rsidP="00E569DF">
      <w:pPr>
        <w:spacing w:after="0" w:line="240" w:lineRule="auto"/>
      </w:pPr>
      <w:r>
        <w:separator/>
      </w:r>
    </w:p>
    <w:p w14:paraId="3E5B9B2C" w14:textId="77777777" w:rsidR="00161057" w:rsidRDefault="00161057"/>
  </w:footnote>
  <w:footnote w:type="continuationSeparator" w:id="0">
    <w:p w14:paraId="103BB1E1" w14:textId="77777777" w:rsidR="00161057" w:rsidRDefault="00161057" w:rsidP="00E569DF">
      <w:pPr>
        <w:spacing w:after="0" w:line="240" w:lineRule="auto"/>
      </w:pPr>
      <w:r>
        <w:continuationSeparator/>
      </w:r>
    </w:p>
    <w:p w14:paraId="5D23C2DA" w14:textId="77777777" w:rsidR="00161057" w:rsidRDefault="00161057"/>
  </w:footnote>
  <w:footnote w:type="continuationNotice" w:id="1">
    <w:p w14:paraId="04F88789" w14:textId="77777777" w:rsidR="00161057" w:rsidRDefault="00161057">
      <w:pPr>
        <w:spacing w:after="0" w:line="240" w:lineRule="auto"/>
      </w:pPr>
    </w:p>
    <w:p w14:paraId="4D744977" w14:textId="77777777" w:rsidR="00161057" w:rsidRDefault="00161057"/>
  </w:footnote>
  <w:footnote w:id="2">
    <w:p w14:paraId="0E215578" w14:textId="740818AB" w:rsidR="00F22870" w:rsidRPr="0096298C" w:rsidRDefault="00F22870" w:rsidP="00F22870">
      <w:pPr>
        <w:pStyle w:val="FootnoteText"/>
        <w:rPr>
          <w:sz w:val="16"/>
          <w:szCs w:val="16"/>
        </w:rPr>
      </w:pPr>
      <w:r w:rsidRPr="00FD53C0">
        <w:rPr>
          <w:rStyle w:val="FootnoteReference"/>
          <w:sz w:val="16"/>
          <w:szCs w:val="16"/>
        </w:rPr>
        <w:footnoteRef/>
      </w:r>
      <w:r w:rsidRPr="0096298C">
        <w:rPr>
          <w:sz w:val="16"/>
          <w:szCs w:val="16"/>
        </w:rPr>
        <w:t xml:space="preserve"> The 202</w:t>
      </w:r>
      <w:r w:rsidR="00214F49">
        <w:rPr>
          <w:sz w:val="16"/>
          <w:szCs w:val="16"/>
        </w:rPr>
        <w:t>4</w:t>
      </w:r>
      <w:r w:rsidRPr="0096298C">
        <w:rPr>
          <w:sz w:val="16"/>
          <w:szCs w:val="16"/>
        </w:rPr>
        <w:t xml:space="preserve"> Annual Plan analysis maintains the approach of modeling five rate class groupings as used in the last year’s annual plan to allow for a more realistic depiction of bill impacts because there is a wide array of usage among commercial customers and having more groupings helps illustrate typical impacts.</w:t>
      </w:r>
    </w:p>
  </w:footnote>
  <w:footnote w:id="3">
    <w:p w14:paraId="2FD88CB3" w14:textId="37EB2304" w:rsidR="00F22870" w:rsidRPr="00FD53C0" w:rsidRDefault="00F22870" w:rsidP="00F22870">
      <w:pPr>
        <w:pStyle w:val="FootnoteText"/>
        <w:rPr>
          <w:sz w:val="16"/>
          <w:szCs w:val="16"/>
        </w:rPr>
      </w:pPr>
      <w:r w:rsidRPr="0096298C">
        <w:rPr>
          <w:rStyle w:val="FootnoteReference"/>
          <w:sz w:val="16"/>
          <w:szCs w:val="16"/>
        </w:rPr>
        <w:footnoteRef/>
      </w:r>
      <w:r w:rsidRPr="0096298C">
        <w:rPr>
          <w:sz w:val="16"/>
          <w:szCs w:val="16"/>
        </w:rPr>
        <w:t xml:space="preserve"> Delivery service rate tariffs is R.I.P.U.C. Tariff No. 2095 for rates A-16 (basic residential rate), A-60 (low-income residential rate), C-06 (small C&amp;I rate), G-02 (medium C&amp;I rate), G-32 (large C&amp;I rate). Standard Offer Service rates used in the analysis are R.I.P.U.C. No. 2096 and R.I.P.U.C. No. 4809 A-16 &amp; A-60 total commodity charge for standard </w:t>
      </w:r>
      <w:r w:rsidR="00D162CE">
        <w:rPr>
          <w:sz w:val="16"/>
          <w:szCs w:val="16"/>
        </w:rPr>
        <w:t xml:space="preserve">income </w:t>
      </w:r>
      <w:r w:rsidRPr="0096298C">
        <w:rPr>
          <w:sz w:val="16"/>
          <w:szCs w:val="16"/>
        </w:rPr>
        <w:t xml:space="preserve">and </w:t>
      </w:r>
      <w:r w:rsidR="00D162CE">
        <w:rPr>
          <w:sz w:val="16"/>
          <w:szCs w:val="16"/>
        </w:rPr>
        <w:t>income eligible</w:t>
      </w:r>
      <w:r w:rsidRPr="0096298C">
        <w:rPr>
          <w:sz w:val="16"/>
          <w:szCs w:val="16"/>
        </w:rPr>
        <w:t xml:space="preserve"> residential rate group, C-06 total commodity charge for small C&amp;I rate group, G-02 total commodity charge for medium C&amp;I rate group and G-32 total commodity charge for large C&amp;I rate group.</w:t>
      </w:r>
      <w:r w:rsidRPr="00FD53C0">
        <w:rPr>
          <w:sz w:val="16"/>
          <w:szCs w:val="16"/>
        </w:rPr>
        <w:t xml:space="preserve"> </w:t>
      </w:r>
    </w:p>
  </w:footnote>
  <w:footnote w:id="4">
    <w:p w14:paraId="219A7A08" w14:textId="77777777" w:rsidR="00F22870" w:rsidRPr="00FD53C0" w:rsidRDefault="00F22870" w:rsidP="00F22870">
      <w:pPr>
        <w:pStyle w:val="FootnoteText"/>
        <w:rPr>
          <w:sz w:val="16"/>
          <w:szCs w:val="16"/>
        </w:rPr>
      </w:pPr>
      <w:r w:rsidRPr="00FD53C0">
        <w:rPr>
          <w:rStyle w:val="FootnoteReference"/>
          <w:sz w:val="16"/>
          <w:szCs w:val="16"/>
        </w:rPr>
        <w:footnoteRef/>
      </w:r>
      <w:r w:rsidRPr="00FD53C0">
        <w:rPr>
          <w:sz w:val="16"/>
          <w:szCs w:val="16"/>
        </w:rPr>
        <w:t xml:space="preserve"> </w:t>
      </w:r>
      <w:r w:rsidRPr="0096298C">
        <w:rPr>
          <w:sz w:val="16"/>
          <w:szCs w:val="16"/>
        </w:rPr>
        <w:t xml:space="preserve">Savings and participation modeled by C&amp;I rate classes is partitioned and estimated based on historical data. </w:t>
      </w:r>
    </w:p>
  </w:footnote>
  <w:footnote w:id="5">
    <w:p w14:paraId="71BFD8B0" w14:textId="2FE50602" w:rsidR="008F1075" w:rsidRPr="007C3442" w:rsidRDefault="008F1075" w:rsidP="008F1075">
      <w:pPr>
        <w:pStyle w:val="FootnoteText"/>
        <w:rPr>
          <w:sz w:val="16"/>
          <w:szCs w:val="16"/>
        </w:rPr>
      </w:pPr>
      <w:r w:rsidRPr="0014333D">
        <w:rPr>
          <w:rStyle w:val="FootnoteReference"/>
          <w:sz w:val="16"/>
          <w:szCs w:val="16"/>
        </w:rPr>
        <w:footnoteRef/>
      </w:r>
      <w:r w:rsidRPr="0014333D">
        <w:rPr>
          <w:sz w:val="16"/>
          <w:szCs w:val="16"/>
        </w:rPr>
        <w:t xml:space="preserve"> Average per-customer annual consumption is calculated based on the forecast electric consumption for each rate class for 202</w:t>
      </w:r>
      <w:r w:rsidR="00D1580A">
        <w:rPr>
          <w:sz w:val="16"/>
          <w:szCs w:val="16"/>
        </w:rPr>
        <w:t>4</w:t>
      </w:r>
      <w:r w:rsidRPr="007C3442">
        <w:rPr>
          <w:sz w:val="16"/>
          <w:szCs w:val="16"/>
        </w:rPr>
        <w:t xml:space="preserve"> and the latest customer counts, for all classes except small business C-06. The small business (C-06 rate) average customer consumption has been refined to better estimate customers based on best data currently available to the Company for both count of customers and their annual consumption. The number of accounts on the C-06 rate is greater than the number of customers, for example there are many accounts for cell towers, pumps, etc. that belong to one customer.</w:t>
      </w:r>
    </w:p>
  </w:footnote>
  <w:footnote w:id="6">
    <w:p w14:paraId="3E4857ED" w14:textId="77777777" w:rsidR="00F22870" w:rsidRPr="00FD53C0" w:rsidRDefault="00F22870" w:rsidP="00F22870">
      <w:pPr>
        <w:pStyle w:val="FootnoteText"/>
        <w:rPr>
          <w:sz w:val="16"/>
          <w:szCs w:val="16"/>
        </w:rPr>
      </w:pPr>
      <w:r w:rsidRPr="00FD53C0">
        <w:rPr>
          <w:rStyle w:val="FootnoteReference"/>
          <w:sz w:val="16"/>
          <w:szCs w:val="16"/>
        </w:rPr>
        <w:footnoteRef/>
      </w:r>
      <w:r w:rsidRPr="00FD53C0">
        <w:rPr>
          <w:sz w:val="16"/>
          <w:szCs w:val="16"/>
        </w:rPr>
        <w:t xml:space="preserve"> </w:t>
      </w:r>
      <w:r>
        <w:rPr>
          <w:sz w:val="16"/>
          <w:szCs w:val="16"/>
        </w:rPr>
        <w:t>As alluded to in section 3.1, residential and income eligible results are split into all programs, all programs without HERs, and HERs only.</w:t>
      </w:r>
    </w:p>
  </w:footnote>
  <w:footnote w:id="7">
    <w:p w14:paraId="5E9025F7" w14:textId="77777777" w:rsidR="005B2F3B" w:rsidRDefault="005B2F3B" w:rsidP="005B2F3B">
      <w:pPr>
        <w:pStyle w:val="FootnoteText"/>
      </w:pPr>
      <w:r w:rsidRPr="000269FE">
        <w:rPr>
          <w:rStyle w:val="FootnoteReference"/>
          <w:sz w:val="16"/>
          <w:szCs w:val="16"/>
        </w:rPr>
        <w:footnoteRef/>
      </w:r>
      <w:r w:rsidRPr="000269FE">
        <w:rPr>
          <w:sz w:val="16"/>
          <w:szCs w:val="16"/>
        </w:rPr>
        <w:t xml:space="preserve"> Note that long term rates decrease despite the presence of an EE charge. These decreases are caused by avoided transmission and distribution charges. In other words, the cumulative avoided transmission and distribution charges are larger than the EE charge.</w:t>
      </w:r>
    </w:p>
  </w:footnote>
  <w:footnote w:id="8">
    <w:p w14:paraId="786202D3" w14:textId="576CEBF4" w:rsidR="00F22870" w:rsidRPr="0096298C" w:rsidRDefault="00F22870" w:rsidP="00F22870">
      <w:pPr>
        <w:pStyle w:val="FootnoteText"/>
        <w:rPr>
          <w:sz w:val="16"/>
          <w:szCs w:val="16"/>
        </w:rPr>
      </w:pPr>
      <w:r w:rsidRPr="00FD53C0">
        <w:rPr>
          <w:rStyle w:val="FootnoteReference"/>
          <w:sz w:val="16"/>
          <w:szCs w:val="16"/>
        </w:rPr>
        <w:footnoteRef/>
      </w:r>
      <w:r w:rsidRPr="00FD53C0">
        <w:rPr>
          <w:sz w:val="16"/>
          <w:szCs w:val="16"/>
        </w:rPr>
        <w:t xml:space="preserve"> </w:t>
      </w:r>
      <w:r w:rsidR="005B629D">
        <w:rPr>
          <w:sz w:val="16"/>
          <w:szCs w:val="16"/>
        </w:rPr>
        <w:t>HERs</w:t>
      </w:r>
      <w:r w:rsidRPr="0096298C">
        <w:rPr>
          <w:sz w:val="16"/>
          <w:szCs w:val="16"/>
        </w:rPr>
        <w:t xml:space="preserve"> participation and savings are split between standard residential and income-eligible customers</w:t>
      </w:r>
      <w:r w:rsidR="00D162CE">
        <w:rPr>
          <w:sz w:val="16"/>
          <w:szCs w:val="16"/>
        </w:rPr>
        <w:t xml:space="preserve"> because</w:t>
      </w:r>
      <w:r w:rsidRPr="0096298C">
        <w:rPr>
          <w:sz w:val="16"/>
          <w:szCs w:val="16"/>
        </w:rPr>
        <w:t xml:space="preserve"> </w:t>
      </w:r>
      <w:r w:rsidR="005B629D">
        <w:rPr>
          <w:sz w:val="16"/>
          <w:szCs w:val="16"/>
        </w:rPr>
        <w:t>this measure</w:t>
      </w:r>
      <w:r w:rsidRPr="0096298C">
        <w:rPr>
          <w:sz w:val="16"/>
          <w:szCs w:val="16"/>
        </w:rPr>
        <w:t xml:space="preserve"> reach</w:t>
      </w:r>
      <w:r w:rsidR="005B629D">
        <w:rPr>
          <w:sz w:val="16"/>
          <w:szCs w:val="16"/>
        </w:rPr>
        <w:t>es</w:t>
      </w:r>
      <w:r w:rsidRPr="0096298C">
        <w:rPr>
          <w:sz w:val="16"/>
          <w:szCs w:val="16"/>
        </w:rPr>
        <w:t xml:space="preserve"> all residential customers. For analysis purposes, </w:t>
      </w:r>
      <w:r w:rsidR="00887CCA">
        <w:rPr>
          <w:sz w:val="16"/>
          <w:szCs w:val="16"/>
        </w:rPr>
        <w:t xml:space="preserve">HERs </w:t>
      </w:r>
      <w:r w:rsidRPr="0096298C">
        <w:rPr>
          <w:sz w:val="16"/>
          <w:szCs w:val="16"/>
        </w:rPr>
        <w:t xml:space="preserve">participation and savings </w:t>
      </w:r>
      <w:r w:rsidR="00887CCA">
        <w:rPr>
          <w:sz w:val="16"/>
          <w:szCs w:val="16"/>
        </w:rPr>
        <w:t xml:space="preserve">are </w:t>
      </w:r>
      <w:r w:rsidRPr="0096298C">
        <w:rPr>
          <w:sz w:val="16"/>
          <w:szCs w:val="16"/>
        </w:rPr>
        <w:t xml:space="preserve">allocated based on the percent of residential customers in standard income and income-eligible rates. </w:t>
      </w:r>
    </w:p>
  </w:footnote>
  <w:footnote w:id="9">
    <w:p w14:paraId="63134FC9" w14:textId="49BE1AAE" w:rsidR="00F22870" w:rsidRPr="00FD53C0" w:rsidRDefault="00F22870" w:rsidP="00F22870">
      <w:pPr>
        <w:pStyle w:val="FootnoteText"/>
        <w:rPr>
          <w:sz w:val="16"/>
          <w:szCs w:val="16"/>
        </w:rPr>
      </w:pPr>
      <w:r w:rsidRPr="00FD53C0">
        <w:rPr>
          <w:rStyle w:val="FootnoteReference"/>
          <w:sz w:val="16"/>
          <w:szCs w:val="16"/>
        </w:rPr>
        <w:footnoteRef/>
      </w:r>
      <w:r w:rsidRPr="00FD53C0">
        <w:rPr>
          <w:sz w:val="16"/>
          <w:szCs w:val="16"/>
        </w:rPr>
        <w:t xml:space="preserve"> </w:t>
      </w:r>
      <w:r w:rsidRPr="0096298C">
        <w:rPr>
          <w:sz w:val="16"/>
          <w:szCs w:val="16"/>
        </w:rPr>
        <w:t>For 202</w:t>
      </w:r>
      <w:r w:rsidR="00FE75A3">
        <w:rPr>
          <w:sz w:val="16"/>
          <w:szCs w:val="16"/>
        </w:rPr>
        <w:t>4</w:t>
      </w:r>
      <w:r w:rsidRPr="0096298C">
        <w:rPr>
          <w:sz w:val="16"/>
          <w:szCs w:val="16"/>
        </w:rPr>
        <w:t>, as in the 202</w:t>
      </w:r>
      <w:r w:rsidR="00FE75A3">
        <w:rPr>
          <w:sz w:val="16"/>
          <w:szCs w:val="16"/>
        </w:rPr>
        <w:t>3</w:t>
      </w:r>
      <w:r w:rsidRPr="0096298C">
        <w:rPr>
          <w:sz w:val="16"/>
          <w:szCs w:val="16"/>
        </w:rPr>
        <w:t xml:space="preserve"> Plan analysis, the small business (C-06 rate) customer count has been refined to better estimate customers.  The number of accounts on the C-06 rate is greater than the number of customers, for example there are many accounts for cell towers, pumps, etc. that belong to one customer.  This is an estimate based on the best data currently available to the Company. </w:t>
      </w:r>
    </w:p>
  </w:footnote>
  <w:footnote w:id="10">
    <w:p w14:paraId="08248B17" w14:textId="1FB636CE" w:rsidR="006C772F" w:rsidRDefault="006C772F">
      <w:pPr>
        <w:pStyle w:val="FootnoteText"/>
      </w:pPr>
      <w:r w:rsidRPr="007F45AF">
        <w:rPr>
          <w:rStyle w:val="FootnoteReference"/>
          <w:sz w:val="16"/>
          <w:szCs w:val="16"/>
        </w:rPr>
        <w:footnoteRef/>
      </w:r>
      <w:r w:rsidRPr="007F45AF">
        <w:rPr>
          <w:sz w:val="16"/>
          <w:szCs w:val="16"/>
        </w:rPr>
        <w:t xml:space="preserve"> </w:t>
      </w:r>
      <w:r w:rsidR="00E52EC8" w:rsidRPr="007F45AF">
        <w:rPr>
          <w:sz w:val="16"/>
          <w:szCs w:val="16"/>
        </w:rPr>
        <w:t xml:space="preserve">The Synapse study </w:t>
      </w:r>
      <w:r w:rsidR="00C036D6" w:rsidRPr="007F45AF">
        <w:rPr>
          <w:sz w:val="16"/>
          <w:szCs w:val="16"/>
        </w:rPr>
        <w:t>introducing this</w:t>
      </w:r>
      <w:r w:rsidR="00D9088A" w:rsidRPr="007F45AF">
        <w:rPr>
          <w:sz w:val="16"/>
          <w:szCs w:val="16"/>
        </w:rPr>
        <w:t xml:space="preserve"> modeling tool is filed in </w:t>
      </w:r>
      <w:hyperlink r:id="rId1" w:history="1">
        <w:r w:rsidR="00D652C4" w:rsidRPr="007F45AF">
          <w:rPr>
            <w:rStyle w:val="Hyperlink"/>
            <w:sz w:val="16"/>
            <w:szCs w:val="16"/>
          </w:rPr>
          <w:t>Docket 5076</w:t>
        </w:r>
      </w:hyperlink>
      <w:r w:rsidR="00D9088A" w:rsidRPr="007F45AF">
        <w:rPr>
          <w:sz w:val="16"/>
          <w:szCs w:val="16"/>
        </w:rPr>
        <w:t xml:space="preserve">: </w:t>
      </w:r>
      <w:hyperlink r:id="rId2" w:history="1">
        <w:r w:rsidR="00D9088A" w:rsidRPr="007F45AF">
          <w:rPr>
            <w:rStyle w:val="Hyperlink"/>
            <w:sz w:val="16"/>
            <w:szCs w:val="16"/>
          </w:rPr>
          <w:t>http://www.ripuc.ri.gov/eventsactions/docket/5076%20National%20Grid%20EEP%20&amp;%203-Yr%20EEP/1%20Synapse%20RI%20Gas%20RBI%20Report%2010_2_20.pdf</w:t>
        </w:r>
      </w:hyperlink>
    </w:p>
  </w:footnote>
  <w:footnote w:id="11">
    <w:p w14:paraId="286F4D7C" w14:textId="18301780" w:rsidR="003F2033" w:rsidRPr="0096298C" w:rsidRDefault="003F2033" w:rsidP="003F2033">
      <w:pPr>
        <w:pStyle w:val="FootnoteText"/>
        <w:rPr>
          <w:sz w:val="16"/>
          <w:szCs w:val="16"/>
        </w:rPr>
      </w:pPr>
      <w:r w:rsidRPr="00FD53C0">
        <w:rPr>
          <w:rStyle w:val="FootnoteReference"/>
          <w:sz w:val="16"/>
          <w:szCs w:val="16"/>
        </w:rPr>
        <w:footnoteRef/>
      </w:r>
      <w:r w:rsidRPr="0096298C">
        <w:rPr>
          <w:sz w:val="16"/>
          <w:szCs w:val="16"/>
        </w:rPr>
        <w:t xml:space="preserve"> The 202</w:t>
      </w:r>
      <w:r w:rsidR="00994442">
        <w:rPr>
          <w:sz w:val="16"/>
          <w:szCs w:val="16"/>
        </w:rPr>
        <w:t>4</w:t>
      </w:r>
      <w:r w:rsidRPr="0096298C">
        <w:rPr>
          <w:sz w:val="16"/>
          <w:szCs w:val="16"/>
        </w:rPr>
        <w:t xml:space="preserve"> Annual Plan analysis maintains the approach of modeling five rate class groupings as used in the last year’s annual plan to allow for a more realistic depiction of bill impacts because there is a wide array of usage among commercial customers and having more groupings helps illustrate typical impacts.</w:t>
      </w:r>
    </w:p>
  </w:footnote>
  <w:footnote w:id="12">
    <w:p w14:paraId="0E24FBF7" w14:textId="4BA27AEB" w:rsidR="00A76729" w:rsidRDefault="00A76729">
      <w:pPr>
        <w:pStyle w:val="FootnoteText"/>
      </w:pPr>
      <w:r w:rsidRPr="007F45AF">
        <w:rPr>
          <w:rStyle w:val="FootnoteReference"/>
          <w:sz w:val="16"/>
          <w:szCs w:val="16"/>
        </w:rPr>
        <w:footnoteRef/>
      </w:r>
      <w:r w:rsidRPr="007F45AF">
        <w:rPr>
          <w:sz w:val="16"/>
          <w:szCs w:val="16"/>
        </w:rPr>
        <w:t xml:space="preserve"> Customers who are not served by the HER program are only excluded due to reasons of evaluability, that is, </w:t>
      </w:r>
      <w:r w:rsidR="0068310B" w:rsidRPr="007F45AF">
        <w:rPr>
          <w:sz w:val="16"/>
          <w:szCs w:val="16"/>
        </w:rPr>
        <w:t>to</w:t>
      </w:r>
      <w:r w:rsidRPr="007F45AF">
        <w:rPr>
          <w:sz w:val="16"/>
          <w:szCs w:val="16"/>
        </w:rPr>
        <w:t xml:space="preserve"> assess the savings in a statistically valid way, a control group of sufficient size is required.</w:t>
      </w:r>
    </w:p>
  </w:footnote>
  <w:footnote w:id="13">
    <w:p w14:paraId="310F6245" w14:textId="19E048E1" w:rsidR="00D37674" w:rsidRPr="007F45AF" w:rsidRDefault="00D37674">
      <w:pPr>
        <w:pStyle w:val="FootnoteText"/>
        <w:rPr>
          <w:sz w:val="16"/>
          <w:szCs w:val="16"/>
        </w:rPr>
      </w:pPr>
      <w:r w:rsidRPr="007F45AF">
        <w:rPr>
          <w:rStyle w:val="FootnoteReference"/>
          <w:sz w:val="16"/>
          <w:szCs w:val="16"/>
        </w:rPr>
        <w:footnoteRef/>
      </w:r>
      <w:r w:rsidRPr="007F45AF">
        <w:rPr>
          <w:sz w:val="16"/>
          <w:szCs w:val="16"/>
        </w:rPr>
        <w:t xml:space="preserve"> Rate impact is the same as the non-participant bill impact, since non-participants have no savings to offset the change in rates. Some values for these two categories differ slightly due to rounding in the model.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A64F6" w14:textId="77777777" w:rsidR="0059302D" w:rsidRDefault="005930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7601D" w14:textId="77777777" w:rsidR="00A76729" w:rsidRPr="00E569DF" w:rsidRDefault="00A76729" w:rsidP="00E569DF">
    <w:pPr>
      <w:tabs>
        <w:tab w:val="center" w:pos="4320"/>
        <w:tab w:val="right" w:pos="8640"/>
      </w:tabs>
      <w:spacing w:after="0" w:line="240" w:lineRule="auto"/>
      <w:jc w:val="right"/>
      <w:rPr>
        <w:rFonts w:eastAsia="Times New Roman"/>
        <w:sz w:val="24"/>
        <w:szCs w:val="24"/>
        <w:lang w:eastAsia="en-US"/>
      </w:rPr>
    </w:pPr>
    <w:r w:rsidRPr="00E569DF">
      <w:rPr>
        <w:rFonts w:eastAsia="Times New Roman"/>
        <w:sz w:val="24"/>
        <w:szCs w:val="24"/>
        <w:lang w:eastAsia="en-US"/>
      </w:rPr>
      <w:t>The Narragansett Electric Company</w:t>
    </w:r>
  </w:p>
  <w:p w14:paraId="6B9F3A15" w14:textId="310B70DF" w:rsidR="00A76729" w:rsidRPr="00E569DF" w:rsidRDefault="00A76729" w:rsidP="00E569DF">
    <w:pPr>
      <w:tabs>
        <w:tab w:val="center" w:pos="4320"/>
        <w:tab w:val="right" w:pos="8640"/>
      </w:tabs>
      <w:spacing w:after="0" w:line="240" w:lineRule="auto"/>
      <w:jc w:val="right"/>
      <w:rPr>
        <w:rFonts w:eastAsia="Times New Roman"/>
        <w:sz w:val="24"/>
        <w:szCs w:val="24"/>
        <w:lang w:eastAsia="en-US"/>
      </w:rPr>
    </w:pPr>
    <w:r w:rsidRPr="00E569DF">
      <w:rPr>
        <w:rFonts w:eastAsia="Times New Roman"/>
        <w:sz w:val="24"/>
        <w:szCs w:val="24"/>
        <w:lang w:eastAsia="en-US"/>
      </w:rPr>
      <w:t xml:space="preserve">d/b/a </w:t>
    </w:r>
    <w:r w:rsidR="00604933">
      <w:rPr>
        <w:rFonts w:eastAsia="Times New Roman"/>
        <w:sz w:val="24"/>
        <w:szCs w:val="24"/>
        <w:lang w:eastAsia="en-US"/>
      </w:rPr>
      <w:t>Rhode Island Energy</w:t>
    </w:r>
  </w:p>
  <w:p w14:paraId="56843A14" w14:textId="44C294CC" w:rsidR="00A76729" w:rsidRPr="00E569DF" w:rsidRDefault="00A76729" w:rsidP="00E569DF">
    <w:pPr>
      <w:tabs>
        <w:tab w:val="center" w:pos="4320"/>
        <w:tab w:val="right" w:pos="8640"/>
      </w:tabs>
      <w:spacing w:after="0" w:line="240" w:lineRule="auto"/>
      <w:jc w:val="right"/>
      <w:rPr>
        <w:rFonts w:eastAsia="Times New Roman"/>
        <w:sz w:val="24"/>
        <w:szCs w:val="24"/>
        <w:lang w:eastAsia="en-US"/>
      </w:rPr>
    </w:pPr>
    <w:r w:rsidRPr="00E569DF">
      <w:rPr>
        <w:rFonts w:eastAsia="Times New Roman"/>
        <w:sz w:val="24"/>
        <w:szCs w:val="24"/>
        <w:lang w:eastAsia="en-US"/>
      </w:rPr>
      <w:t xml:space="preserve">Docket </w:t>
    </w:r>
    <w:r>
      <w:rPr>
        <w:rFonts w:eastAsia="Times New Roman"/>
        <w:sz w:val="24"/>
        <w:szCs w:val="24"/>
        <w:lang w:eastAsia="en-US"/>
      </w:rPr>
      <w:t>XXXX</w:t>
    </w:r>
  </w:p>
  <w:p w14:paraId="0AB640F4" w14:textId="357CB070" w:rsidR="00A76729" w:rsidRDefault="00EF4354" w:rsidP="000F7B61">
    <w:pPr>
      <w:tabs>
        <w:tab w:val="center" w:pos="4320"/>
        <w:tab w:val="right" w:pos="8640"/>
      </w:tabs>
      <w:spacing w:after="0" w:line="240" w:lineRule="auto"/>
      <w:jc w:val="right"/>
      <w:rPr>
        <w:rFonts w:eastAsia="Times New Roman"/>
        <w:sz w:val="24"/>
        <w:szCs w:val="24"/>
        <w:lang w:eastAsia="en-US"/>
      </w:rPr>
    </w:pPr>
    <w:r>
      <w:rPr>
        <w:rFonts w:eastAsia="Times New Roman"/>
        <w:sz w:val="24"/>
        <w:szCs w:val="24"/>
        <w:lang w:eastAsia="en-US"/>
      </w:rPr>
      <w:t xml:space="preserve">2023 </w:t>
    </w:r>
    <w:r w:rsidR="00A76729">
      <w:rPr>
        <w:rFonts w:eastAsia="Times New Roman"/>
        <w:sz w:val="24"/>
        <w:szCs w:val="24"/>
        <w:lang w:eastAsia="en-US"/>
      </w:rPr>
      <w:t>Annual Plan</w:t>
    </w:r>
    <w:r w:rsidR="000F7B61">
      <w:rPr>
        <w:rFonts w:eastAsia="Times New Roman"/>
        <w:sz w:val="24"/>
        <w:szCs w:val="24"/>
        <w:lang w:eastAsia="en-US"/>
      </w:rPr>
      <w:t xml:space="preserve"> </w:t>
    </w:r>
    <w:r w:rsidR="00A76729">
      <w:rPr>
        <w:rFonts w:eastAsia="Times New Roman"/>
        <w:sz w:val="24"/>
        <w:szCs w:val="24"/>
        <w:lang w:eastAsia="en-US"/>
      </w:rPr>
      <w:t>Attachment 7</w:t>
    </w:r>
  </w:p>
  <w:p w14:paraId="524DF43F" w14:textId="77777777" w:rsidR="00A76729" w:rsidRPr="003917BE" w:rsidRDefault="00A76729" w:rsidP="003917BE">
    <w:pPr>
      <w:tabs>
        <w:tab w:val="center" w:pos="4320"/>
        <w:tab w:val="right" w:pos="8640"/>
      </w:tabs>
      <w:spacing w:after="0" w:line="240" w:lineRule="auto"/>
      <w:jc w:val="right"/>
      <w:rPr>
        <w:rFonts w:eastAsia="Times New Roman"/>
        <w:sz w:val="24"/>
        <w:szCs w:val="24"/>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663A" w14:textId="77777777" w:rsidR="00E60BB7" w:rsidRPr="00E569DF" w:rsidRDefault="00E60BB7" w:rsidP="00E60BB7">
    <w:pPr>
      <w:tabs>
        <w:tab w:val="center" w:pos="4320"/>
        <w:tab w:val="right" w:pos="8640"/>
      </w:tabs>
      <w:spacing w:after="0" w:line="240" w:lineRule="auto"/>
      <w:jc w:val="right"/>
      <w:rPr>
        <w:rFonts w:eastAsia="Times New Roman"/>
        <w:sz w:val="24"/>
        <w:szCs w:val="24"/>
        <w:lang w:eastAsia="en-US"/>
      </w:rPr>
    </w:pPr>
    <w:r w:rsidRPr="00E569DF">
      <w:rPr>
        <w:rFonts w:eastAsia="Times New Roman"/>
        <w:sz w:val="24"/>
        <w:szCs w:val="24"/>
        <w:lang w:eastAsia="en-US"/>
      </w:rPr>
      <w:t>The Narragansett Electric Company</w:t>
    </w:r>
  </w:p>
  <w:p w14:paraId="5CD579BD" w14:textId="77777777" w:rsidR="00E60BB7" w:rsidRPr="00E569DF" w:rsidRDefault="00E60BB7" w:rsidP="00E60BB7">
    <w:pPr>
      <w:tabs>
        <w:tab w:val="center" w:pos="4320"/>
        <w:tab w:val="right" w:pos="8640"/>
      </w:tabs>
      <w:spacing w:after="0" w:line="240" w:lineRule="auto"/>
      <w:jc w:val="right"/>
      <w:rPr>
        <w:rFonts w:eastAsia="Times New Roman"/>
        <w:sz w:val="24"/>
        <w:szCs w:val="24"/>
        <w:lang w:eastAsia="en-US"/>
      </w:rPr>
    </w:pPr>
    <w:r w:rsidRPr="00E569DF">
      <w:rPr>
        <w:rFonts w:eastAsia="Times New Roman"/>
        <w:sz w:val="24"/>
        <w:szCs w:val="24"/>
        <w:lang w:eastAsia="en-US"/>
      </w:rPr>
      <w:t xml:space="preserve">d/b/a </w:t>
    </w:r>
    <w:r>
      <w:rPr>
        <w:rFonts w:eastAsia="Times New Roman"/>
        <w:sz w:val="24"/>
        <w:szCs w:val="24"/>
        <w:lang w:eastAsia="en-US"/>
      </w:rPr>
      <w:t>Rhode Island Energy</w:t>
    </w:r>
  </w:p>
  <w:p w14:paraId="04AC2A1F" w14:textId="77777777" w:rsidR="00E60BB7" w:rsidRPr="00E569DF" w:rsidRDefault="00E60BB7" w:rsidP="00E60BB7">
    <w:pPr>
      <w:tabs>
        <w:tab w:val="center" w:pos="4320"/>
        <w:tab w:val="right" w:pos="8640"/>
      </w:tabs>
      <w:spacing w:after="0" w:line="240" w:lineRule="auto"/>
      <w:jc w:val="right"/>
      <w:rPr>
        <w:rFonts w:eastAsia="Times New Roman"/>
        <w:sz w:val="24"/>
        <w:szCs w:val="24"/>
        <w:lang w:eastAsia="en-US"/>
      </w:rPr>
    </w:pPr>
    <w:r w:rsidRPr="00E569DF">
      <w:rPr>
        <w:rFonts w:eastAsia="Times New Roman"/>
        <w:sz w:val="24"/>
        <w:szCs w:val="24"/>
        <w:lang w:eastAsia="en-US"/>
      </w:rPr>
      <w:t xml:space="preserve">Docket </w:t>
    </w:r>
    <w:r w:rsidRPr="00E60BB7">
      <w:rPr>
        <w:rFonts w:eastAsia="Times New Roman"/>
        <w:sz w:val="24"/>
        <w:szCs w:val="24"/>
        <w:lang w:eastAsia="en-US"/>
      </w:rPr>
      <w:t>22-33-EE</w:t>
    </w:r>
  </w:p>
  <w:p w14:paraId="73C1FC19" w14:textId="76C9EB3E" w:rsidR="00E60BB7" w:rsidRPr="00E60BB7" w:rsidRDefault="00E60BB7" w:rsidP="00E60BB7">
    <w:pPr>
      <w:tabs>
        <w:tab w:val="center" w:pos="4320"/>
        <w:tab w:val="right" w:pos="8640"/>
      </w:tabs>
      <w:spacing w:after="0" w:line="240" w:lineRule="auto"/>
      <w:jc w:val="right"/>
      <w:rPr>
        <w:rFonts w:eastAsia="Times New Roman"/>
        <w:sz w:val="24"/>
        <w:szCs w:val="24"/>
        <w:lang w:eastAsia="en-US"/>
      </w:rPr>
    </w:pPr>
    <w:r>
      <w:rPr>
        <w:rFonts w:eastAsia="Times New Roman"/>
        <w:sz w:val="24"/>
        <w:szCs w:val="24"/>
        <w:lang w:eastAsia="en-US"/>
      </w:rPr>
      <w:t>202</w:t>
    </w:r>
    <w:r w:rsidR="0002256E">
      <w:rPr>
        <w:rFonts w:eastAsia="Times New Roman"/>
        <w:sz w:val="24"/>
        <w:szCs w:val="24"/>
        <w:lang w:eastAsia="en-US"/>
      </w:rPr>
      <w:t>4</w:t>
    </w:r>
    <w:r>
      <w:rPr>
        <w:rFonts w:eastAsia="Times New Roman"/>
        <w:sz w:val="24"/>
        <w:szCs w:val="24"/>
        <w:lang w:eastAsia="en-US"/>
      </w:rPr>
      <w:t xml:space="preserve"> Annual Plan Attachment 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9DD24" w14:textId="77777777" w:rsidR="00A76729" w:rsidRPr="00E569DF" w:rsidRDefault="00A76729" w:rsidP="00E569DF">
    <w:pPr>
      <w:tabs>
        <w:tab w:val="center" w:pos="4320"/>
        <w:tab w:val="right" w:pos="8640"/>
      </w:tabs>
      <w:spacing w:after="0" w:line="240" w:lineRule="auto"/>
      <w:jc w:val="right"/>
      <w:rPr>
        <w:rFonts w:eastAsia="Times New Roman"/>
        <w:sz w:val="24"/>
        <w:szCs w:val="24"/>
        <w:lang w:eastAsia="en-US"/>
      </w:rPr>
    </w:pPr>
    <w:r w:rsidRPr="00E569DF">
      <w:rPr>
        <w:rFonts w:eastAsia="Times New Roman"/>
        <w:sz w:val="24"/>
        <w:szCs w:val="24"/>
        <w:lang w:eastAsia="en-US"/>
      </w:rPr>
      <w:t>The Narragansett Electric Company</w:t>
    </w:r>
  </w:p>
  <w:p w14:paraId="78358C56" w14:textId="1547F830" w:rsidR="00A76729" w:rsidRPr="00E569DF" w:rsidRDefault="00A76729" w:rsidP="00E569DF">
    <w:pPr>
      <w:tabs>
        <w:tab w:val="center" w:pos="4320"/>
        <w:tab w:val="right" w:pos="8640"/>
      </w:tabs>
      <w:spacing w:after="0" w:line="240" w:lineRule="auto"/>
      <w:jc w:val="right"/>
      <w:rPr>
        <w:rFonts w:eastAsia="Times New Roman"/>
        <w:sz w:val="24"/>
        <w:szCs w:val="24"/>
        <w:lang w:eastAsia="en-US"/>
      </w:rPr>
    </w:pPr>
    <w:r w:rsidRPr="00E569DF">
      <w:rPr>
        <w:rFonts w:eastAsia="Times New Roman"/>
        <w:sz w:val="24"/>
        <w:szCs w:val="24"/>
        <w:lang w:eastAsia="en-US"/>
      </w:rPr>
      <w:t xml:space="preserve">d/b/a </w:t>
    </w:r>
    <w:r w:rsidR="007A0684">
      <w:rPr>
        <w:rFonts w:eastAsia="Times New Roman"/>
        <w:sz w:val="24"/>
        <w:szCs w:val="24"/>
        <w:lang w:eastAsia="en-US"/>
      </w:rPr>
      <w:t>Rhode Island Energy</w:t>
    </w:r>
  </w:p>
  <w:p w14:paraId="3955AC6A" w14:textId="67128E2C" w:rsidR="00A76729" w:rsidRPr="00E569DF" w:rsidRDefault="00A76729" w:rsidP="00E569DF">
    <w:pPr>
      <w:tabs>
        <w:tab w:val="center" w:pos="4320"/>
        <w:tab w:val="right" w:pos="8640"/>
      </w:tabs>
      <w:spacing w:after="0" w:line="240" w:lineRule="auto"/>
      <w:jc w:val="right"/>
      <w:rPr>
        <w:rFonts w:eastAsia="Times New Roman"/>
        <w:sz w:val="24"/>
        <w:szCs w:val="24"/>
        <w:lang w:eastAsia="en-US"/>
      </w:rPr>
    </w:pPr>
    <w:r w:rsidRPr="00E569DF">
      <w:rPr>
        <w:rFonts w:eastAsia="Times New Roman"/>
        <w:sz w:val="24"/>
        <w:szCs w:val="24"/>
        <w:lang w:eastAsia="en-US"/>
      </w:rPr>
      <w:t xml:space="preserve">Docket </w:t>
    </w:r>
    <w:r w:rsidR="00E60BB7" w:rsidRPr="00E60BB7">
      <w:rPr>
        <w:rFonts w:eastAsia="Times New Roman"/>
        <w:sz w:val="24"/>
        <w:szCs w:val="24"/>
        <w:lang w:eastAsia="en-US"/>
      </w:rPr>
      <w:t>22-33-EE</w:t>
    </w:r>
  </w:p>
  <w:p w14:paraId="26C42B03" w14:textId="15542326" w:rsidR="00A76729" w:rsidRPr="00E569DF" w:rsidRDefault="00EF4354" w:rsidP="000F7B61">
    <w:pPr>
      <w:tabs>
        <w:tab w:val="center" w:pos="4320"/>
        <w:tab w:val="right" w:pos="8640"/>
      </w:tabs>
      <w:spacing w:after="0" w:line="240" w:lineRule="auto"/>
      <w:jc w:val="right"/>
      <w:rPr>
        <w:rFonts w:eastAsia="Times New Roman"/>
        <w:sz w:val="24"/>
        <w:szCs w:val="24"/>
        <w:lang w:eastAsia="en-US"/>
      </w:rPr>
    </w:pPr>
    <w:r>
      <w:rPr>
        <w:rFonts w:eastAsia="Times New Roman"/>
        <w:sz w:val="24"/>
        <w:szCs w:val="24"/>
        <w:lang w:eastAsia="en-US"/>
      </w:rPr>
      <w:t>202</w:t>
    </w:r>
    <w:r w:rsidR="0002256E">
      <w:rPr>
        <w:rFonts w:eastAsia="Times New Roman"/>
        <w:sz w:val="24"/>
        <w:szCs w:val="24"/>
        <w:lang w:eastAsia="en-US"/>
      </w:rPr>
      <w:t>4</w:t>
    </w:r>
    <w:r>
      <w:rPr>
        <w:rFonts w:eastAsia="Times New Roman"/>
        <w:sz w:val="24"/>
        <w:szCs w:val="24"/>
        <w:lang w:eastAsia="en-US"/>
      </w:rPr>
      <w:t xml:space="preserve"> </w:t>
    </w:r>
    <w:r w:rsidR="00A76729">
      <w:rPr>
        <w:rFonts w:eastAsia="Times New Roman"/>
        <w:sz w:val="24"/>
        <w:szCs w:val="24"/>
        <w:lang w:eastAsia="en-US"/>
      </w:rPr>
      <w:t>Annual Plan</w:t>
    </w:r>
    <w:r w:rsidR="000F7B61">
      <w:rPr>
        <w:rFonts w:eastAsia="Times New Roman"/>
        <w:sz w:val="24"/>
        <w:szCs w:val="24"/>
        <w:lang w:eastAsia="en-US"/>
      </w:rPr>
      <w:t xml:space="preserve"> </w:t>
    </w:r>
    <w:r w:rsidR="00A76729">
      <w:rPr>
        <w:rFonts w:eastAsia="Times New Roman"/>
        <w:sz w:val="24"/>
        <w:szCs w:val="24"/>
        <w:lang w:eastAsia="en-US"/>
      </w:rPr>
      <w:t>Attachment 7</w:t>
    </w:r>
  </w:p>
  <w:p w14:paraId="3DEFDF37" w14:textId="2C8724C7" w:rsidR="00A76729" w:rsidRPr="00660463" w:rsidRDefault="00A76729" w:rsidP="00B673D0">
    <w:pPr>
      <w:tabs>
        <w:tab w:val="center" w:pos="4320"/>
        <w:tab w:val="right" w:pos="8640"/>
      </w:tabs>
      <w:spacing w:after="0" w:line="240" w:lineRule="auto"/>
      <w:jc w:val="right"/>
      <w:rPr>
        <w:rFonts w:eastAsia="Times New Roman"/>
        <w:sz w:val="24"/>
        <w:szCs w:val="24"/>
        <w:lang w:eastAsia="en-US"/>
      </w:rPr>
    </w:pPr>
    <w:r w:rsidRPr="00E569DF">
      <w:rPr>
        <w:rFonts w:eastAsia="Times New Roman"/>
        <w:sz w:val="24"/>
        <w:szCs w:val="24"/>
        <w:lang w:eastAsia="en-US"/>
      </w:rPr>
      <w:t xml:space="preserve">Page </w:t>
    </w:r>
    <w:r w:rsidRPr="00660463">
      <w:rPr>
        <w:rFonts w:eastAsia="Times New Roman"/>
        <w:sz w:val="24"/>
        <w:szCs w:val="24"/>
        <w:lang w:eastAsia="en-US"/>
      </w:rPr>
      <w:fldChar w:fldCharType="begin"/>
    </w:r>
    <w:r w:rsidRPr="00660463">
      <w:rPr>
        <w:rFonts w:eastAsia="Times New Roman"/>
        <w:sz w:val="24"/>
        <w:szCs w:val="24"/>
        <w:lang w:eastAsia="en-US"/>
      </w:rPr>
      <w:instrText xml:space="preserve"> PAGE </w:instrText>
    </w:r>
    <w:r w:rsidRPr="00660463">
      <w:rPr>
        <w:rFonts w:eastAsia="Times New Roman"/>
        <w:sz w:val="24"/>
        <w:szCs w:val="24"/>
        <w:lang w:eastAsia="en-US"/>
      </w:rPr>
      <w:fldChar w:fldCharType="separate"/>
    </w:r>
    <w:r w:rsidRPr="00660463">
      <w:rPr>
        <w:rFonts w:eastAsia="Times New Roman"/>
        <w:noProof/>
        <w:sz w:val="24"/>
        <w:szCs w:val="24"/>
        <w:lang w:eastAsia="en-US"/>
      </w:rPr>
      <w:t>1</w:t>
    </w:r>
    <w:r w:rsidRPr="00660463">
      <w:rPr>
        <w:rFonts w:eastAsia="Times New Roman"/>
        <w:sz w:val="24"/>
        <w:szCs w:val="24"/>
        <w:lang w:eastAsia="en-US"/>
      </w:rPr>
      <w:fldChar w:fldCharType="end"/>
    </w:r>
    <w:r w:rsidRPr="00660463">
      <w:rPr>
        <w:rFonts w:eastAsia="Times New Roman"/>
        <w:sz w:val="24"/>
        <w:szCs w:val="24"/>
        <w:lang w:eastAsia="en-US"/>
      </w:rPr>
      <w:t xml:space="preserve"> of </w:t>
    </w:r>
    <w:r w:rsidR="0084421F" w:rsidRPr="00660463">
      <w:rPr>
        <w:rFonts w:eastAsia="Times New Roman"/>
        <w:sz w:val="24"/>
        <w:szCs w:val="24"/>
        <w:lang w:eastAsia="en-US"/>
      </w:rPr>
      <w:fldChar w:fldCharType="begin"/>
    </w:r>
    <w:r w:rsidR="0084421F" w:rsidRPr="00660463">
      <w:rPr>
        <w:rFonts w:eastAsia="Times New Roman"/>
        <w:sz w:val="24"/>
        <w:szCs w:val="24"/>
        <w:lang w:eastAsia="en-US"/>
      </w:rPr>
      <w:instrText xml:space="preserve"> </w:instrText>
    </w:r>
    <w:r w:rsidR="00660463" w:rsidRPr="00660463">
      <w:rPr>
        <w:rFonts w:eastAsia="Times New Roman"/>
        <w:sz w:val="24"/>
        <w:szCs w:val="24"/>
        <w:lang w:eastAsia="en-US"/>
      </w:rPr>
      <w:instrText>=</w:instrText>
    </w:r>
    <w:r w:rsidR="00660463" w:rsidRPr="00660463">
      <w:rPr>
        <w:rFonts w:eastAsia="Times New Roman"/>
        <w:sz w:val="24"/>
        <w:szCs w:val="24"/>
        <w:lang w:eastAsia="en-US"/>
      </w:rPr>
      <w:fldChar w:fldCharType="begin"/>
    </w:r>
    <w:r w:rsidR="00660463" w:rsidRPr="00660463">
      <w:rPr>
        <w:rFonts w:eastAsia="Times New Roman"/>
        <w:sz w:val="24"/>
        <w:szCs w:val="24"/>
        <w:lang w:eastAsia="en-US"/>
      </w:rPr>
      <w:instrText xml:space="preserve"> </w:instrText>
    </w:r>
    <w:r w:rsidR="0084421F" w:rsidRPr="00660463">
      <w:rPr>
        <w:rFonts w:eastAsia="Times New Roman"/>
        <w:sz w:val="24"/>
        <w:szCs w:val="24"/>
        <w:lang w:eastAsia="en-US"/>
      </w:rPr>
      <w:instrText>NUMPAGES</w:instrText>
    </w:r>
    <w:r w:rsidR="00660463" w:rsidRPr="00660463">
      <w:rPr>
        <w:rFonts w:eastAsia="Times New Roman"/>
        <w:sz w:val="24"/>
        <w:szCs w:val="24"/>
        <w:lang w:eastAsia="en-US"/>
      </w:rPr>
      <w:instrText xml:space="preserve"> </w:instrText>
    </w:r>
    <w:r w:rsidR="00660463" w:rsidRPr="00660463">
      <w:rPr>
        <w:rFonts w:eastAsia="Times New Roman"/>
        <w:sz w:val="24"/>
        <w:szCs w:val="24"/>
        <w:lang w:eastAsia="en-US"/>
      </w:rPr>
      <w:fldChar w:fldCharType="separate"/>
    </w:r>
    <w:r w:rsidR="0089733E">
      <w:rPr>
        <w:rFonts w:eastAsia="Times New Roman"/>
        <w:noProof/>
        <w:sz w:val="24"/>
        <w:szCs w:val="24"/>
        <w:lang w:eastAsia="en-US"/>
      </w:rPr>
      <w:instrText>17</w:instrText>
    </w:r>
    <w:r w:rsidR="00660463" w:rsidRPr="00660463">
      <w:rPr>
        <w:rFonts w:eastAsia="Times New Roman"/>
        <w:sz w:val="24"/>
        <w:szCs w:val="24"/>
        <w:lang w:eastAsia="en-US"/>
      </w:rPr>
      <w:fldChar w:fldCharType="end"/>
    </w:r>
    <w:r w:rsidR="0084421F" w:rsidRPr="00660463">
      <w:rPr>
        <w:rFonts w:eastAsia="Times New Roman"/>
        <w:sz w:val="24"/>
        <w:szCs w:val="24"/>
        <w:lang w:eastAsia="en-US"/>
      </w:rPr>
      <w:instrText xml:space="preserve"> </w:instrText>
    </w:r>
    <w:r w:rsidR="00660463" w:rsidRPr="00660463">
      <w:rPr>
        <w:rFonts w:eastAsia="Times New Roman"/>
        <w:sz w:val="24"/>
        <w:szCs w:val="24"/>
        <w:lang w:eastAsia="en-US"/>
      </w:rPr>
      <w:instrText>-1</w:instrText>
    </w:r>
    <w:r w:rsidR="0084421F" w:rsidRPr="00660463">
      <w:rPr>
        <w:rFonts w:eastAsia="Times New Roman"/>
        <w:sz w:val="24"/>
        <w:szCs w:val="24"/>
        <w:lang w:eastAsia="en-US"/>
      </w:rPr>
      <w:instrText xml:space="preserve">  \* MERGEFORMAT </w:instrText>
    </w:r>
    <w:r w:rsidR="0084421F" w:rsidRPr="00660463">
      <w:rPr>
        <w:rFonts w:eastAsia="Times New Roman"/>
        <w:sz w:val="24"/>
        <w:szCs w:val="24"/>
        <w:lang w:eastAsia="en-US"/>
      </w:rPr>
      <w:fldChar w:fldCharType="separate"/>
    </w:r>
    <w:r w:rsidR="0089733E">
      <w:rPr>
        <w:rFonts w:eastAsia="Times New Roman"/>
        <w:noProof/>
        <w:sz w:val="24"/>
        <w:szCs w:val="24"/>
        <w:lang w:eastAsia="en-US"/>
      </w:rPr>
      <w:t>16</w:t>
    </w:r>
    <w:r w:rsidR="0084421F" w:rsidRPr="00660463">
      <w:rPr>
        <w:rFonts w:eastAsia="Times New Roman"/>
        <w:sz w:val="24"/>
        <w:szCs w:val="24"/>
        <w:lang w:eastAsia="en-US"/>
      </w:rPr>
      <w:fldChar w:fldCharType="end"/>
    </w:r>
  </w:p>
  <w:p w14:paraId="256A2EF8" w14:textId="77777777" w:rsidR="00A76729" w:rsidRDefault="00A767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E5208"/>
    <w:multiLevelType w:val="hybridMultilevel"/>
    <w:tmpl w:val="99EC5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154E5"/>
    <w:multiLevelType w:val="multilevel"/>
    <w:tmpl w:val="53A6663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6E87D55"/>
    <w:multiLevelType w:val="hybridMultilevel"/>
    <w:tmpl w:val="92F437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3D7C6F"/>
    <w:multiLevelType w:val="hybridMultilevel"/>
    <w:tmpl w:val="0EF2A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941938"/>
    <w:multiLevelType w:val="hybridMultilevel"/>
    <w:tmpl w:val="4B7C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95754C"/>
    <w:multiLevelType w:val="hybridMultilevel"/>
    <w:tmpl w:val="8AF2C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8759C1"/>
    <w:multiLevelType w:val="hybridMultilevel"/>
    <w:tmpl w:val="05FCF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A550CE"/>
    <w:multiLevelType w:val="hybridMultilevel"/>
    <w:tmpl w:val="F41C5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DC03E5"/>
    <w:multiLevelType w:val="hybridMultilevel"/>
    <w:tmpl w:val="4F087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357025"/>
    <w:multiLevelType w:val="hybridMultilevel"/>
    <w:tmpl w:val="FA867080"/>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0" w15:restartNumberingAfterBreak="0">
    <w:nsid w:val="3DA0668A"/>
    <w:multiLevelType w:val="hybridMultilevel"/>
    <w:tmpl w:val="A47CB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624E61"/>
    <w:multiLevelType w:val="hybridMultilevel"/>
    <w:tmpl w:val="39141DBE"/>
    <w:lvl w:ilvl="0" w:tplc="77D828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056A7D"/>
    <w:multiLevelType w:val="hybridMultilevel"/>
    <w:tmpl w:val="634004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15:restartNumberingAfterBreak="0">
    <w:nsid w:val="504E09CF"/>
    <w:multiLevelType w:val="hybridMultilevel"/>
    <w:tmpl w:val="E618B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1207A23"/>
    <w:multiLevelType w:val="hybridMultilevel"/>
    <w:tmpl w:val="D4BC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1A6AB3"/>
    <w:multiLevelType w:val="hybridMultilevel"/>
    <w:tmpl w:val="A014BA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EB3059"/>
    <w:multiLevelType w:val="hybridMultilevel"/>
    <w:tmpl w:val="C19050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658BC"/>
    <w:multiLevelType w:val="hybridMultilevel"/>
    <w:tmpl w:val="C250F7B6"/>
    <w:lvl w:ilvl="0" w:tplc="46EC31C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28393B"/>
    <w:multiLevelType w:val="hybridMultilevel"/>
    <w:tmpl w:val="76DA2C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7224696"/>
    <w:multiLevelType w:val="hybridMultilevel"/>
    <w:tmpl w:val="6024C1CE"/>
    <w:lvl w:ilvl="0" w:tplc="C8DA06D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3929ED"/>
    <w:multiLevelType w:val="hybridMultilevel"/>
    <w:tmpl w:val="42504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F47329"/>
    <w:multiLevelType w:val="hybridMultilevel"/>
    <w:tmpl w:val="D8BC6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7190996">
    <w:abstractNumId w:val="12"/>
  </w:num>
  <w:num w:numId="2" w16cid:durableId="72436756">
    <w:abstractNumId w:val="3"/>
  </w:num>
  <w:num w:numId="3" w16cid:durableId="975065182">
    <w:abstractNumId w:val="10"/>
  </w:num>
  <w:num w:numId="4" w16cid:durableId="1014654180">
    <w:abstractNumId w:val="7"/>
  </w:num>
  <w:num w:numId="5" w16cid:durableId="1078945083">
    <w:abstractNumId w:val="14"/>
  </w:num>
  <w:num w:numId="6" w16cid:durableId="940841234">
    <w:abstractNumId w:val="11"/>
  </w:num>
  <w:num w:numId="7" w16cid:durableId="1091586113">
    <w:abstractNumId w:val="2"/>
  </w:num>
  <w:num w:numId="8" w16cid:durableId="1220628174">
    <w:abstractNumId w:val="9"/>
  </w:num>
  <w:num w:numId="9" w16cid:durableId="35668926">
    <w:abstractNumId w:val="4"/>
  </w:num>
  <w:num w:numId="10" w16cid:durableId="395589066">
    <w:abstractNumId w:val="15"/>
  </w:num>
  <w:num w:numId="11" w16cid:durableId="822157638">
    <w:abstractNumId w:val="8"/>
  </w:num>
  <w:num w:numId="12" w16cid:durableId="1254823181">
    <w:abstractNumId w:val="19"/>
  </w:num>
  <w:num w:numId="13" w16cid:durableId="1957132004">
    <w:abstractNumId w:val="16"/>
  </w:num>
  <w:num w:numId="14" w16cid:durableId="853878350">
    <w:abstractNumId w:val="13"/>
  </w:num>
  <w:num w:numId="15" w16cid:durableId="1971473409">
    <w:abstractNumId w:val="18"/>
  </w:num>
  <w:num w:numId="16" w16cid:durableId="283003204">
    <w:abstractNumId w:val="5"/>
  </w:num>
  <w:num w:numId="17" w16cid:durableId="441068773">
    <w:abstractNumId w:val="0"/>
  </w:num>
  <w:num w:numId="18" w16cid:durableId="2098017256">
    <w:abstractNumId w:val="6"/>
  </w:num>
  <w:num w:numId="19" w16cid:durableId="170337218">
    <w:abstractNumId w:val="17"/>
  </w:num>
  <w:num w:numId="20" w16cid:durableId="1439982525">
    <w:abstractNumId w:val="20"/>
  </w:num>
  <w:num w:numId="21" w16cid:durableId="1898734995">
    <w:abstractNumId w:val="1"/>
  </w:num>
  <w:num w:numId="22" w16cid:durableId="83410886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BAE"/>
    <w:rsid w:val="00000A8A"/>
    <w:rsid w:val="00002648"/>
    <w:rsid w:val="00002AFA"/>
    <w:rsid w:val="000039C8"/>
    <w:rsid w:val="00004B66"/>
    <w:rsid w:val="00005391"/>
    <w:rsid w:val="00005581"/>
    <w:rsid w:val="00005781"/>
    <w:rsid w:val="00005915"/>
    <w:rsid w:val="00005929"/>
    <w:rsid w:val="00007E67"/>
    <w:rsid w:val="00010DAF"/>
    <w:rsid w:val="00010E22"/>
    <w:rsid w:val="00011ACD"/>
    <w:rsid w:val="00011E59"/>
    <w:rsid w:val="00011FD6"/>
    <w:rsid w:val="00013344"/>
    <w:rsid w:val="00015237"/>
    <w:rsid w:val="00015C4A"/>
    <w:rsid w:val="00015FB2"/>
    <w:rsid w:val="000168BC"/>
    <w:rsid w:val="00017285"/>
    <w:rsid w:val="00017E48"/>
    <w:rsid w:val="00017F1E"/>
    <w:rsid w:val="000209F5"/>
    <w:rsid w:val="0002256E"/>
    <w:rsid w:val="00022F34"/>
    <w:rsid w:val="00023A2E"/>
    <w:rsid w:val="0002447D"/>
    <w:rsid w:val="00027771"/>
    <w:rsid w:val="00027A69"/>
    <w:rsid w:val="000302D8"/>
    <w:rsid w:val="0003079E"/>
    <w:rsid w:val="000307E4"/>
    <w:rsid w:val="00031DAB"/>
    <w:rsid w:val="00032142"/>
    <w:rsid w:val="00035930"/>
    <w:rsid w:val="00037633"/>
    <w:rsid w:val="00037F97"/>
    <w:rsid w:val="00042008"/>
    <w:rsid w:val="00042E75"/>
    <w:rsid w:val="000446FA"/>
    <w:rsid w:val="00044861"/>
    <w:rsid w:val="00044B08"/>
    <w:rsid w:val="00045836"/>
    <w:rsid w:val="0004587A"/>
    <w:rsid w:val="00046399"/>
    <w:rsid w:val="00046DB6"/>
    <w:rsid w:val="00047AE7"/>
    <w:rsid w:val="0005138E"/>
    <w:rsid w:val="00051DDE"/>
    <w:rsid w:val="000521FD"/>
    <w:rsid w:val="0005229D"/>
    <w:rsid w:val="00052654"/>
    <w:rsid w:val="00052EB3"/>
    <w:rsid w:val="000533EE"/>
    <w:rsid w:val="000543C6"/>
    <w:rsid w:val="00055FEA"/>
    <w:rsid w:val="00056D8A"/>
    <w:rsid w:val="00057287"/>
    <w:rsid w:val="0005778C"/>
    <w:rsid w:val="00057BA5"/>
    <w:rsid w:val="00057EAF"/>
    <w:rsid w:val="000607D6"/>
    <w:rsid w:val="00060997"/>
    <w:rsid w:val="000639C5"/>
    <w:rsid w:val="00064840"/>
    <w:rsid w:val="00064861"/>
    <w:rsid w:val="00064BF2"/>
    <w:rsid w:val="0006571C"/>
    <w:rsid w:val="00065899"/>
    <w:rsid w:val="000659CC"/>
    <w:rsid w:val="0006641A"/>
    <w:rsid w:val="00066564"/>
    <w:rsid w:val="00070F99"/>
    <w:rsid w:val="000718A9"/>
    <w:rsid w:val="0007258C"/>
    <w:rsid w:val="000731C5"/>
    <w:rsid w:val="0007360C"/>
    <w:rsid w:val="0007471F"/>
    <w:rsid w:val="00077AC5"/>
    <w:rsid w:val="0008044D"/>
    <w:rsid w:val="00080962"/>
    <w:rsid w:val="0008162E"/>
    <w:rsid w:val="00081971"/>
    <w:rsid w:val="00081CB5"/>
    <w:rsid w:val="000828FA"/>
    <w:rsid w:val="000848AB"/>
    <w:rsid w:val="00084937"/>
    <w:rsid w:val="00084E51"/>
    <w:rsid w:val="00084EAC"/>
    <w:rsid w:val="00085711"/>
    <w:rsid w:val="00086570"/>
    <w:rsid w:val="000866F6"/>
    <w:rsid w:val="00086A7A"/>
    <w:rsid w:val="00090744"/>
    <w:rsid w:val="000910F6"/>
    <w:rsid w:val="00091BC9"/>
    <w:rsid w:val="00093C33"/>
    <w:rsid w:val="00094901"/>
    <w:rsid w:val="00094D27"/>
    <w:rsid w:val="000953F7"/>
    <w:rsid w:val="0009769E"/>
    <w:rsid w:val="00097AC9"/>
    <w:rsid w:val="000A0107"/>
    <w:rsid w:val="000A0998"/>
    <w:rsid w:val="000A24C1"/>
    <w:rsid w:val="000A3727"/>
    <w:rsid w:val="000A4440"/>
    <w:rsid w:val="000A4D45"/>
    <w:rsid w:val="000A55EC"/>
    <w:rsid w:val="000A7C47"/>
    <w:rsid w:val="000B0B87"/>
    <w:rsid w:val="000B2A11"/>
    <w:rsid w:val="000B4C6F"/>
    <w:rsid w:val="000B4E62"/>
    <w:rsid w:val="000B5428"/>
    <w:rsid w:val="000B5A59"/>
    <w:rsid w:val="000B606F"/>
    <w:rsid w:val="000B6ADD"/>
    <w:rsid w:val="000B6E4C"/>
    <w:rsid w:val="000B7C83"/>
    <w:rsid w:val="000C0895"/>
    <w:rsid w:val="000C0DAD"/>
    <w:rsid w:val="000C1EAA"/>
    <w:rsid w:val="000C22A5"/>
    <w:rsid w:val="000C22D6"/>
    <w:rsid w:val="000C2A4B"/>
    <w:rsid w:val="000C2F0E"/>
    <w:rsid w:val="000C4076"/>
    <w:rsid w:val="000C52EF"/>
    <w:rsid w:val="000C57D1"/>
    <w:rsid w:val="000C6419"/>
    <w:rsid w:val="000C6ADB"/>
    <w:rsid w:val="000D1026"/>
    <w:rsid w:val="000D1136"/>
    <w:rsid w:val="000D212B"/>
    <w:rsid w:val="000D374D"/>
    <w:rsid w:val="000D3F45"/>
    <w:rsid w:val="000D43B9"/>
    <w:rsid w:val="000D54EE"/>
    <w:rsid w:val="000D5835"/>
    <w:rsid w:val="000D676D"/>
    <w:rsid w:val="000D6BB8"/>
    <w:rsid w:val="000E1DFB"/>
    <w:rsid w:val="000E20F6"/>
    <w:rsid w:val="000E2460"/>
    <w:rsid w:val="000E24EC"/>
    <w:rsid w:val="000E2752"/>
    <w:rsid w:val="000E32FB"/>
    <w:rsid w:val="000E3BAF"/>
    <w:rsid w:val="000E414C"/>
    <w:rsid w:val="000E4F3B"/>
    <w:rsid w:val="000E4F43"/>
    <w:rsid w:val="000E53F8"/>
    <w:rsid w:val="000E77B8"/>
    <w:rsid w:val="000E791E"/>
    <w:rsid w:val="000F022C"/>
    <w:rsid w:val="000F0CA0"/>
    <w:rsid w:val="000F2057"/>
    <w:rsid w:val="000F2F70"/>
    <w:rsid w:val="000F3B10"/>
    <w:rsid w:val="000F4627"/>
    <w:rsid w:val="000F46B4"/>
    <w:rsid w:val="000F6FFB"/>
    <w:rsid w:val="000F7539"/>
    <w:rsid w:val="000F7B61"/>
    <w:rsid w:val="000F7F3D"/>
    <w:rsid w:val="001007D8"/>
    <w:rsid w:val="001011BD"/>
    <w:rsid w:val="0010122D"/>
    <w:rsid w:val="00102012"/>
    <w:rsid w:val="00102E3B"/>
    <w:rsid w:val="001032BB"/>
    <w:rsid w:val="0010371B"/>
    <w:rsid w:val="0010371F"/>
    <w:rsid w:val="0010458A"/>
    <w:rsid w:val="00106137"/>
    <w:rsid w:val="001064C9"/>
    <w:rsid w:val="0011050D"/>
    <w:rsid w:val="001106DF"/>
    <w:rsid w:val="001111DC"/>
    <w:rsid w:val="001111E5"/>
    <w:rsid w:val="00111232"/>
    <w:rsid w:val="00111892"/>
    <w:rsid w:val="001123BB"/>
    <w:rsid w:val="0011272A"/>
    <w:rsid w:val="00113A2A"/>
    <w:rsid w:val="00113B22"/>
    <w:rsid w:val="0011440D"/>
    <w:rsid w:val="00114942"/>
    <w:rsid w:val="00114B69"/>
    <w:rsid w:val="0011511B"/>
    <w:rsid w:val="0011554D"/>
    <w:rsid w:val="001155E0"/>
    <w:rsid w:val="00116009"/>
    <w:rsid w:val="0011619A"/>
    <w:rsid w:val="001169D6"/>
    <w:rsid w:val="00116D19"/>
    <w:rsid w:val="0011781F"/>
    <w:rsid w:val="00117A27"/>
    <w:rsid w:val="00117BAE"/>
    <w:rsid w:val="001201DE"/>
    <w:rsid w:val="001215FE"/>
    <w:rsid w:val="00121B5F"/>
    <w:rsid w:val="001221BD"/>
    <w:rsid w:val="00122282"/>
    <w:rsid w:val="00122ABE"/>
    <w:rsid w:val="001236BD"/>
    <w:rsid w:val="0012440D"/>
    <w:rsid w:val="00124AD9"/>
    <w:rsid w:val="00127110"/>
    <w:rsid w:val="001273F7"/>
    <w:rsid w:val="001311AC"/>
    <w:rsid w:val="00132DBF"/>
    <w:rsid w:val="00132F8E"/>
    <w:rsid w:val="00133396"/>
    <w:rsid w:val="0013449E"/>
    <w:rsid w:val="00135267"/>
    <w:rsid w:val="00135712"/>
    <w:rsid w:val="00135E3F"/>
    <w:rsid w:val="0013612B"/>
    <w:rsid w:val="001379A1"/>
    <w:rsid w:val="00137A7D"/>
    <w:rsid w:val="00140842"/>
    <w:rsid w:val="0014117C"/>
    <w:rsid w:val="00141DE2"/>
    <w:rsid w:val="0014333D"/>
    <w:rsid w:val="00143855"/>
    <w:rsid w:val="001464BD"/>
    <w:rsid w:val="0014676D"/>
    <w:rsid w:val="00147FC4"/>
    <w:rsid w:val="00151B49"/>
    <w:rsid w:val="00151B4B"/>
    <w:rsid w:val="00151ECA"/>
    <w:rsid w:val="00151ED1"/>
    <w:rsid w:val="00152326"/>
    <w:rsid w:val="0015236F"/>
    <w:rsid w:val="00154410"/>
    <w:rsid w:val="00154677"/>
    <w:rsid w:val="00154A0D"/>
    <w:rsid w:val="00157133"/>
    <w:rsid w:val="00157187"/>
    <w:rsid w:val="001604DF"/>
    <w:rsid w:val="00161057"/>
    <w:rsid w:val="0016144D"/>
    <w:rsid w:val="00163910"/>
    <w:rsid w:val="0016399B"/>
    <w:rsid w:val="00163A9A"/>
    <w:rsid w:val="001645D8"/>
    <w:rsid w:val="00165587"/>
    <w:rsid w:val="001663E8"/>
    <w:rsid w:val="00167179"/>
    <w:rsid w:val="00167E4E"/>
    <w:rsid w:val="001703A0"/>
    <w:rsid w:val="0017051A"/>
    <w:rsid w:val="00170B8D"/>
    <w:rsid w:val="001714C8"/>
    <w:rsid w:val="00171B5D"/>
    <w:rsid w:val="001724A8"/>
    <w:rsid w:val="001729B0"/>
    <w:rsid w:val="00172F43"/>
    <w:rsid w:val="00174B0B"/>
    <w:rsid w:val="00175B6A"/>
    <w:rsid w:val="00181EFD"/>
    <w:rsid w:val="00181F61"/>
    <w:rsid w:val="001820B2"/>
    <w:rsid w:val="00182112"/>
    <w:rsid w:val="00182550"/>
    <w:rsid w:val="0018260C"/>
    <w:rsid w:val="00183866"/>
    <w:rsid w:val="00183E7D"/>
    <w:rsid w:val="00184087"/>
    <w:rsid w:val="001852B4"/>
    <w:rsid w:val="00185362"/>
    <w:rsid w:val="0018586E"/>
    <w:rsid w:val="00187EC6"/>
    <w:rsid w:val="00190341"/>
    <w:rsid w:val="001907CC"/>
    <w:rsid w:val="00190EF6"/>
    <w:rsid w:val="00191438"/>
    <w:rsid w:val="001932A0"/>
    <w:rsid w:val="00193618"/>
    <w:rsid w:val="00193B27"/>
    <w:rsid w:val="00194313"/>
    <w:rsid w:val="00194653"/>
    <w:rsid w:val="00194C13"/>
    <w:rsid w:val="00196231"/>
    <w:rsid w:val="001965C2"/>
    <w:rsid w:val="00196748"/>
    <w:rsid w:val="001967B8"/>
    <w:rsid w:val="00196DB3"/>
    <w:rsid w:val="0019741C"/>
    <w:rsid w:val="001974A7"/>
    <w:rsid w:val="001A06CC"/>
    <w:rsid w:val="001A072A"/>
    <w:rsid w:val="001A08CE"/>
    <w:rsid w:val="001A1B12"/>
    <w:rsid w:val="001A2C3E"/>
    <w:rsid w:val="001A2DC0"/>
    <w:rsid w:val="001A35C3"/>
    <w:rsid w:val="001A3A19"/>
    <w:rsid w:val="001A3DFF"/>
    <w:rsid w:val="001A5083"/>
    <w:rsid w:val="001A543B"/>
    <w:rsid w:val="001A57A1"/>
    <w:rsid w:val="001A6A7D"/>
    <w:rsid w:val="001A6AEF"/>
    <w:rsid w:val="001A6ED5"/>
    <w:rsid w:val="001B10B8"/>
    <w:rsid w:val="001B1686"/>
    <w:rsid w:val="001B20DD"/>
    <w:rsid w:val="001B287E"/>
    <w:rsid w:val="001B2E54"/>
    <w:rsid w:val="001B3657"/>
    <w:rsid w:val="001B4345"/>
    <w:rsid w:val="001B4A54"/>
    <w:rsid w:val="001B5656"/>
    <w:rsid w:val="001B5AC4"/>
    <w:rsid w:val="001B5B7B"/>
    <w:rsid w:val="001B792B"/>
    <w:rsid w:val="001B7CED"/>
    <w:rsid w:val="001B7E8A"/>
    <w:rsid w:val="001C2705"/>
    <w:rsid w:val="001C3ED9"/>
    <w:rsid w:val="001C622C"/>
    <w:rsid w:val="001C66AA"/>
    <w:rsid w:val="001C68B9"/>
    <w:rsid w:val="001C77E3"/>
    <w:rsid w:val="001C786E"/>
    <w:rsid w:val="001D0716"/>
    <w:rsid w:val="001D1DD0"/>
    <w:rsid w:val="001D262E"/>
    <w:rsid w:val="001D3E35"/>
    <w:rsid w:val="001D414E"/>
    <w:rsid w:val="001D5732"/>
    <w:rsid w:val="001D65A9"/>
    <w:rsid w:val="001D6D58"/>
    <w:rsid w:val="001D7B22"/>
    <w:rsid w:val="001D7C73"/>
    <w:rsid w:val="001D7EF8"/>
    <w:rsid w:val="001E0864"/>
    <w:rsid w:val="001E127C"/>
    <w:rsid w:val="001E2E7C"/>
    <w:rsid w:val="001E443D"/>
    <w:rsid w:val="001E4A0B"/>
    <w:rsid w:val="001E4F68"/>
    <w:rsid w:val="001E7913"/>
    <w:rsid w:val="001E7D8B"/>
    <w:rsid w:val="001F05A1"/>
    <w:rsid w:val="001F074C"/>
    <w:rsid w:val="001F260D"/>
    <w:rsid w:val="001F31FC"/>
    <w:rsid w:val="001F4C83"/>
    <w:rsid w:val="001F51DF"/>
    <w:rsid w:val="001F584E"/>
    <w:rsid w:val="001F7A8E"/>
    <w:rsid w:val="001F7F94"/>
    <w:rsid w:val="00200E32"/>
    <w:rsid w:val="00201621"/>
    <w:rsid w:val="00201D85"/>
    <w:rsid w:val="00202F15"/>
    <w:rsid w:val="00203B81"/>
    <w:rsid w:val="002041EE"/>
    <w:rsid w:val="00204D48"/>
    <w:rsid w:val="00206880"/>
    <w:rsid w:val="002070C7"/>
    <w:rsid w:val="00210467"/>
    <w:rsid w:val="0021060C"/>
    <w:rsid w:val="00211E87"/>
    <w:rsid w:val="0021252B"/>
    <w:rsid w:val="00212919"/>
    <w:rsid w:val="002132FE"/>
    <w:rsid w:val="0021399F"/>
    <w:rsid w:val="00214F49"/>
    <w:rsid w:val="0021521C"/>
    <w:rsid w:val="002161ED"/>
    <w:rsid w:val="002176AE"/>
    <w:rsid w:val="00217734"/>
    <w:rsid w:val="0022132F"/>
    <w:rsid w:val="00222163"/>
    <w:rsid w:val="00224401"/>
    <w:rsid w:val="002265A2"/>
    <w:rsid w:val="00226B68"/>
    <w:rsid w:val="00226D52"/>
    <w:rsid w:val="00227F77"/>
    <w:rsid w:val="00230213"/>
    <w:rsid w:val="00230DAF"/>
    <w:rsid w:val="00231183"/>
    <w:rsid w:val="002316D7"/>
    <w:rsid w:val="002318C5"/>
    <w:rsid w:val="00231C50"/>
    <w:rsid w:val="00232345"/>
    <w:rsid w:val="00232A19"/>
    <w:rsid w:val="00233F0B"/>
    <w:rsid w:val="002344A9"/>
    <w:rsid w:val="00234CF2"/>
    <w:rsid w:val="002354A0"/>
    <w:rsid w:val="0023628D"/>
    <w:rsid w:val="002376E1"/>
    <w:rsid w:val="00237F94"/>
    <w:rsid w:val="0024006D"/>
    <w:rsid w:val="00240C20"/>
    <w:rsid w:val="002411C8"/>
    <w:rsid w:val="002414EA"/>
    <w:rsid w:val="002418CF"/>
    <w:rsid w:val="00241C25"/>
    <w:rsid w:val="00241CAB"/>
    <w:rsid w:val="002428B3"/>
    <w:rsid w:val="002430E5"/>
    <w:rsid w:val="002439FD"/>
    <w:rsid w:val="00243A7E"/>
    <w:rsid w:val="0024487E"/>
    <w:rsid w:val="0024536A"/>
    <w:rsid w:val="002459CE"/>
    <w:rsid w:val="00246972"/>
    <w:rsid w:val="00246AE2"/>
    <w:rsid w:val="00246CD9"/>
    <w:rsid w:val="00246FAE"/>
    <w:rsid w:val="00247452"/>
    <w:rsid w:val="00247EF3"/>
    <w:rsid w:val="00250A7C"/>
    <w:rsid w:val="00250C4A"/>
    <w:rsid w:val="002513BB"/>
    <w:rsid w:val="00251796"/>
    <w:rsid w:val="002520A8"/>
    <w:rsid w:val="002536D9"/>
    <w:rsid w:val="00253D2F"/>
    <w:rsid w:val="00254045"/>
    <w:rsid w:val="00254FF3"/>
    <w:rsid w:val="00255979"/>
    <w:rsid w:val="00256DC1"/>
    <w:rsid w:val="00257945"/>
    <w:rsid w:val="00261113"/>
    <w:rsid w:val="002611E3"/>
    <w:rsid w:val="00262E21"/>
    <w:rsid w:val="00263BC5"/>
    <w:rsid w:val="00265126"/>
    <w:rsid w:val="00265CD4"/>
    <w:rsid w:val="00266505"/>
    <w:rsid w:val="0026658F"/>
    <w:rsid w:val="00266BEB"/>
    <w:rsid w:val="00271ADE"/>
    <w:rsid w:val="0027256D"/>
    <w:rsid w:val="00272A25"/>
    <w:rsid w:val="00273B15"/>
    <w:rsid w:val="002749D6"/>
    <w:rsid w:val="00274E61"/>
    <w:rsid w:val="0027538E"/>
    <w:rsid w:val="00275536"/>
    <w:rsid w:val="0027566F"/>
    <w:rsid w:val="00275682"/>
    <w:rsid w:val="00275B6A"/>
    <w:rsid w:val="002762CE"/>
    <w:rsid w:val="00276931"/>
    <w:rsid w:val="00276B99"/>
    <w:rsid w:val="002773D5"/>
    <w:rsid w:val="00277E7F"/>
    <w:rsid w:val="00280542"/>
    <w:rsid w:val="002820FB"/>
    <w:rsid w:val="002821D8"/>
    <w:rsid w:val="00282750"/>
    <w:rsid w:val="00284A25"/>
    <w:rsid w:val="0028740B"/>
    <w:rsid w:val="002874D6"/>
    <w:rsid w:val="00287973"/>
    <w:rsid w:val="00287C82"/>
    <w:rsid w:val="002901F9"/>
    <w:rsid w:val="00290FBA"/>
    <w:rsid w:val="00291302"/>
    <w:rsid w:val="002916B5"/>
    <w:rsid w:val="002917F6"/>
    <w:rsid w:val="0029262D"/>
    <w:rsid w:val="00294178"/>
    <w:rsid w:val="0029510B"/>
    <w:rsid w:val="00295733"/>
    <w:rsid w:val="00295EBC"/>
    <w:rsid w:val="00295FF0"/>
    <w:rsid w:val="002962D3"/>
    <w:rsid w:val="002970B9"/>
    <w:rsid w:val="002972B2"/>
    <w:rsid w:val="002A1468"/>
    <w:rsid w:val="002A158C"/>
    <w:rsid w:val="002A1AE2"/>
    <w:rsid w:val="002A1F14"/>
    <w:rsid w:val="002A2655"/>
    <w:rsid w:val="002A5F53"/>
    <w:rsid w:val="002A7CB0"/>
    <w:rsid w:val="002B07C0"/>
    <w:rsid w:val="002B31E9"/>
    <w:rsid w:val="002B3D9A"/>
    <w:rsid w:val="002B43F1"/>
    <w:rsid w:val="002B45E6"/>
    <w:rsid w:val="002B4674"/>
    <w:rsid w:val="002B556C"/>
    <w:rsid w:val="002B5727"/>
    <w:rsid w:val="002B5C56"/>
    <w:rsid w:val="002B7243"/>
    <w:rsid w:val="002B7296"/>
    <w:rsid w:val="002B7E8B"/>
    <w:rsid w:val="002C0311"/>
    <w:rsid w:val="002C0853"/>
    <w:rsid w:val="002C0CA3"/>
    <w:rsid w:val="002C2592"/>
    <w:rsid w:val="002C263B"/>
    <w:rsid w:val="002C38C4"/>
    <w:rsid w:val="002C523F"/>
    <w:rsid w:val="002C70FE"/>
    <w:rsid w:val="002C7AD3"/>
    <w:rsid w:val="002D3148"/>
    <w:rsid w:val="002D3490"/>
    <w:rsid w:val="002D3EEC"/>
    <w:rsid w:val="002D4978"/>
    <w:rsid w:val="002D53D3"/>
    <w:rsid w:val="002D55BD"/>
    <w:rsid w:val="002D5A28"/>
    <w:rsid w:val="002D6030"/>
    <w:rsid w:val="002D751E"/>
    <w:rsid w:val="002E215E"/>
    <w:rsid w:val="002E2384"/>
    <w:rsid w:val="002E23BF"/>
    <w:rsid w:val="002E34FE"/>
    <w:rsid w:val="002E3C20"/>
    <w:rsid w:val="002E3C6C"/>
    <w:rsid w:val="002E4E74"/>
    <w:rsid w:val="002E65F1"/>
    <w:rsid w:val="002E6AD4"/>
    <w:rsid w:val="002F07B8"/>
    <w:rsid w:val="002F2465"/>
    <w:rsid w:val="002F4166"/>
    <w:rsid w:val="002F493F"/>
    <w:rsid w:val="002F6E17"/>
    <w:rsid w:val="002F72EC"/>
    <w:rsid w:val="002F761F"/>
    <w:rsid w:val="0030012B"/>
    <w:rsid w:val="00300801"/>
    <w:rsid w:val="00301A7F"/>
    <w:rsid w:val="00302DBC"/>
    <w:rsid w:val="00303118"/>
    <w:rsid w:val="00303EC7"/>
    <w:rsid w:val="00304CE2"/>
    <w:rsid w:val="00304CEA"/>
    <w:rsid w:val="00305E4E"/>
    <w:rsid w:val="00307515"/>
    <w:rsid w:val="00307D61"/>
    <w:rsid w:val="00307DA4"/>
    <w:rsid w:val="00311F6F"/>
    <w:rsid w:val="00313FE2"/>
    <w:rsid w:val="003149F3"/>
    <w:rsid w:val="00315119"/>
    <w:rsid w:val="00317309"/>
    <w:rsid w:val="00320399"/>
    <w:rsid w:val="00320C72"/>
    <w:rsid w:val="00322948"/>
    <w:rsid w:val="00323F23"/>
    <w:rsid w:val="00324A95"/>
    <w:rsid w:val="00325456"/>
    <w:rsid w:val="0032698F"/>
    <w:rsid w:val="00326B21"/>
    <w:rsid w:val="00326C2D"/>
    <w:rsid w:val="00326EE2"/>
    <w:rsid w:val="00327667"/>
    <w:rsid w:val="00327835"/>
    <w:rsid w:val="003307CD"/>
    <w:rsid w:val="0033163A"/>
    <w:rsid w:val="00331C09"/>
    <w:rsid w:val="00331E3E"/>
    <w:rsid w:val="00334220"/>
    <w:rsid w:val="00334664"/>
    <w:rsid w:val="00335FCA"/>
    <w:rsid w:val="003367C8"/>
    <w:rsid w:val="0034160A"/>
    <w:rsid w:val="003419AF"/>
    <w:rsid w:val="003420F6"/>
    <w:rsid w:val="0034349C"/>
    <w:rsid w:val="00343D83"/>
    <w:rsid w:val="003440C9"/>
    <w:rsid w:val="00344237"/>
    <w:rsid w:val="0034515F"/>
    <w:rsid w:val="00345178"/>
    <w:rsid w:val="0034557F"/>
    <w:rsid w:val="003456DB"/>
    <w:rsid w:val="00346275"/>
    <w:rsid w:val="00346306"/>
    <w:rsid w:val="00347694"/>
    <w:rsid w:val="00350858"/>
    <w:rsid w:val="00353A5A"/>
    <w:rsid w:val="00353D54"/>
    <w:rsid w:val="00354255"/>
    <w:rsid w:val="00354963"/>
    <w:rsid w:val="00355A5A"/>
    <w:rsid w:val="003563E6"/>
    <w:rsid w:val="003569DA"/>
    <w:rsid w:val="00356A02"/>
    <w:rsid w:val="00360C47"/>
    <w:rsid w:val="0036114B"/>
    <w:rsid w:val="003628BA"/>
    <w:rsid w:val="003630B1"/>
    <w:rsid w:val="003641BB"/>
    <w:rsid w:val="003642BC"/>
    <w:rsid w:val="00364A8E"/>
    <w:rsid w:val="003656DB"/>
    <w:rsid w:val="00365A0A"/>
    <w:rsid w:val="003672CF"/>
    <w:rsid w:val="00370488"/>
    <w:rsid w:val="00371A21"/>
    <w:rsid w:val="003723CA"/>
    <w:rsid w:val="00374712"/>
    <w:rsid w:val="003754CB"/>
    <w:rsid w:val="003760F8"/>
    <w:rsid w:val="00376C76"/>
    <w:rsid w:val="00376E3D"/>
    <w:rsid w:val="003779F0"/>
    <w:rsid w:val="00377E85"/>
    <w:rsid w:val="0038184F"/>
    <w:rsid w:val="00382793"/>
    <w:rsid w:val="00390266"/>
    <w:rsid w:val="00390EAA"/>
    <w:rsid w:val="0039176A"/>
    <w:rsid w:val="003917BE"/>
    <w:rsid w:val="00391BCE"/>
    <w:rsid w:val="0039274A"/>
    <w:rsid w:val="00392FE3"/>
    <w:rsid w:val="00393AD1"/>
    <w:rsid w:val="00393EA0"/>
    <w:rsid w:val="003941F3"/>
    <w:rsid w:val="003942E0"/>
    <w:rsid w:val="00394E18"/>
    <w:rsid w:val="00394EF5"/>
    <w:rsid w:val="00395261"/>
    <w:rsid w:val="00395362"/>
    <w:rsid w:val="00396CF1"/>
    <w:rsid w:val="003A03FF"/>
    <w:rsid w:val="003A21B6"/>
    <w:rsid w:val="003A342F"/>
    <w:rsid w:val="003A48F5"/>
    <w:rsid w:val="003A4EF2"/>
    <w:rsid w:val="003A4FBE"/>
    <w:rsid w:val="003A54F8"/>
    <w:rsid w:val="003A6ABD"/>
    <w:rsid w:val="003B0EC5"/>
    <w:rsid w:val="003B235A"/>
    <w:rsid w:val="003B2823"/>
    <w:rsid w:val="003B2EF8"/>
    <w:rsid w:val="003B3ED6"/>
    <w:rsid w:val="003B5048"/>
    <w:rsid w:val="003B59BA"/>
    <w:rsid w:val="003B7CFE"/>
    <w:rsid w:val="003C0672"/>
    <w:rsid w:val="003C0750"/>
    <w:rsid w:val="003C1190"/>
    <w:rsid w:val="003C24B0"/>
    <w:rsid w:val="003C4134"/>
    <w:rsid w:val="003C5E4A"/>
    <w:rsid w:val="003C68BC"/>
    <w:rsid w:val="003C6993"/>
    <w:rsid w:val="003C7B4B"/>
    <w:rsid w:val="003D0109"/>
    <w:rsid w:val="003D1633"/>
    <w:rsid w:val="003D166F"/>
    <w:rsid w:val="003D2B1D"/>
    <w:rsid w:val="003D2B69"/>
    <w:rsid w:val="003D493C"/>
    <w:rsid w:val="003D6D9C"/>
    <w:rsid w:val="003D7286"/>
    <w:rsid w:val="003D72FF"/>
    <w:rsid w:val="003E16B1"/>
    <w:rsid w:val="003E1B62"/>
    <w:rsid w:val="003E22BD"/>
    <w:rsid w:val="003E44E4"/>
    <w:rsid w:val="003E4B9A"/>
    <w:rsid w:val="003E5D83"/>
    <w:rsid w:val="003E78E7"/>
    <w:rsid w:val="003F0956"/>
    <w:rsid w:val="003F2033"/>
    <w:rsid w:val="003F4931"/>
    <w:rsid w:val="003F4CD1"/>
    <w:rsid w:val="003F4D0D"/>
    <w:rsid w:val="003F4D0F"/>
    <w:rsid w:val="003F5136"/>
    <w:rsid w:val="0040162C"/>
    <w:rsid w:val="00401F43"/>
    <w:rsid w:val="0040586E"/>
    <w:rsid w:val="004059DF"/>
    <w:rsid w:val="00405B16"/>
    <w:rsid w:val="004062EC"/>
    <w:rsid w:val="00410015"/>
    <w:rsid w:val="00410F51"/>
    <w:rsid w:val="0041464F"/>
    <w:rsid w:val="00414886"/>
    <w:rsid w:val="00415249"/>
    <w:rsid w:val="0041525A"/>
    <w:rsid w:val="004159A5"/>
    <w:rsid w:val="00415AF4"/>
    <w:rsid w:val="0041626B"/>
    <w:rsid w:val="0041720E"/>
    <w:rsid w:val="0041736C"/>
    <w:rsid w:val="004176E2"/>
    <w:rsid w:val="00417BB8"/>
    <w:rsid w:val="004206F9"/>
    <w:rsid w:val="004212C8"/>
    <w:rsid w:val="00422573"/>
    <w:rsid w:val="00422588"/>
    <w:rsid w:val="00422A69"/>
    <w:rsid w:val="00423C10"/>
    <w:rsid w:val="004241ED"/>
    <w:rsid w:val="00424F79"/>
    <w:rsid w:val="00424FD4"/>
    <w:rsid w:val="00425DDD"/>
    <w:rsid w:val="004263C4"/>
    <w:rsid w:val="00426C81"/>
    <w:rsid w:val="00430573"/>
    <w:rsid w:val="00431F0D"/>
    <w:rsid w:val="004321DC"/>
    <w:rsid w:val="004322C5"/>
    <w:rsid w:val="00432504"/>
    <w:rsid w:val="00432D24"/>
    <w:rsid w:val="0043365F"/>
    <w:rsid w:val="00434009"/>
    <w:rsid w:val="004355A2"/>
    <w:rsid w:val="00436232"/>
    <w:rsid w:val="00436B94"/>
    <w:rsid w:val="004402CA"/>
    <w:rsid w:val="00440871"/>
    <w:rsid w:val="004424F4"/>
    <w:rsid w:val="00442630"/>
    <w:rsid w:val="004429E9"/>
    <w:rsid w:val="004430C0"/>
    <w:rsid w:val="004431B6"/>
    <w:rsid w:val="00444589"/>
    <w:rsid w:val="0044537F"/>
    <w:rsid w:val="00445942"/>
    <w:rsid w:val="00446BA2"/>
    <w:rsid w:val="0044799E"/>
    <w:rsid w:val="00447DB8"/>
    <w:rsid w:val="00450EE2"/>
    <w:rsid w:val="0045164F"/>
    <w:rsid w:val="00451723"/>
    <w:rsid w:val="00451A85"/>
    <w:rsid w:val="00453413"/>
    <w:rsid w:val="004538F0"/>
    <w:rsid w:val="00454756"/>
    <w:rsid w:val="00455CF5"/>
    <w:rsid w:val="00456908"/>
    <w:rsid w:val="00461C50"/>
    <w:rsid w:val="00463FEB"/>
    <w:rsid w:val="0046420E"/>
    <w:rsid w:val="00464226"/>
    <w:rsid w:val="004646C2"/>
    <w:rsid w:val="00465253"/>
    <w:rsid w:val="004656D3"/>
    <w:rsid w:val="00465707"/>
    <w:rsid w:val="00471014"/>
    <w:rsid w:val="00471B35"/>
    <w:rsid w:val="00471B9F"/>
    <w:rsid w:val="00472C3B"/>
    <w:rsid w:val="004733D3"/>
    <w:rsid w:val="00473746"/>
    <w:rsid w:val="00473A06"/>
    <w:rsid w:val="00473CDF"/>
    <w:rsid w:val="004754A9"/>
    <w:rsid w:val="004758DF"/>
    <w:rsid w:val="00475B49"/>
    <w:rsid w:val="00476E6C"/>
    <w:rsid w:val="004779C3"/>
    <w:rsid w:val="00477C28"/>
    <w:rsid w:val="00480650"/>
    <w:rsid w:val="00480781"/>
    <w:rsid w:val="00480848"/>
    <w:rsid w:val="00480D59"/>
    <w:rsid w:val="00480DAB"/>
    <w:rsid w:val="00481E60"/>
    <w:rsid w:val="00482053"/>
    <w:rsid w:val="00482E8C"/>
    <w:rsid w:val="00483FC7"/>
    <w:rsid w:val="0048464B"/>
    <w:rsid w:val="0048492E"/>
    <w:rsid w:val="00486C7E"/>
    <w:rsid w:val="00487BE9"/>
    <w:rsid w:val="004901F1"/>
    <w:rsid w:val="004908C9"/>
    <w:rsid w:val="004916D0"/>
    <w:rsid w:val="004924C5"/>
    <w:rsid w:val="00493100"/>
    <w:rsid w:val="00493630"/>
    <w:rsid w:val="00494B37"/>
    <w:rsid w:val="00495A79"/>
    <w:rsid w:val="00495D1E"/>
    <w:rsid w:val="004961BC"/>
    <w:rsid w:val="004966EF"/>
    <w:rsid w:val="0049753A"/>
    <w:rsid w:val="004A00C9"/>
    <w:rsid w:val="004A03CD"/>
    <w:rsid w:val="004A057D"/>
    <w:rsid w:val="004A0ED0"/>
    <w:rsid w:val="004A1E28"/>
    <w:rsid w:val="004A200F"/>
    <w:rsid w:val="004A2A51"/>
    <w:rsid w:val="004A2BEB"/>
    <w:rsid w:val="004A3183"/>
    <w:rsid w:val="004A3A29"/>
    <w:rsid w:val="004A3D20"/>
    <w:rsid w:val="004A40BE"/>
    <w:rsid w:val="004A4FEA"/>
    <w:rsid w:val="004A5F2B"/>
    <w:rsid w:val="004A70D0"/>
    <w:rsid w:val="004A7220"/>
    <w:rsid w:val="004B09E7"/>
    <w:rsid w:val="004B118D"/>
    <w:rsid w:val="004B1833"/>
    <w:rsid w:val="004B1EC3"/>
    <w:rsid w:val="004B2C2A"/>
    <w:rsid w:val="004B30E4"/>
    <w:rsid w:val="004B4519"/>
    <w:rsid w:val="004B4573"/>
    <w:rsid w:val="004B53A1"/>
    <w:rsid w:val="004B57E2"/>
    <w:rsid w:val="004B6301"/>
    <w:rsid w:val="004B6715"/>
    <w:rsid w:val="004B68EE"/>
    <w:rsid w:val="004B7165"/>
    <w:rsid w:val="004C15E3"/>
    <w:rsid w:val="004C23A4"/>
    <w:rsid w:val="004C3635"/>
    <w:rsid w:val="004C4656"/>
    <w:rsid w:val="004C49C3"/>
    <w:rsid w:val="004C53D8"/>
    <w:rsid w:val="004C5BE1"/>
    <w:rsid w:val="004C5F7C"/>
    <w:rsid w:val="004C6065"/>
    <w:rsid w:val="004C616D"/>
    <w:rsid w:val="004C6752"/>
    <w:rsid w:val="004C7680"/>
    <w:rsid w:val="004D26CF"/>
    <w:rsid w:val="004D36E9"/>
    <w:rsid w:val="004D41D7"/>
    <w:rsid w:val="004D4493"/>
    <w:rsid w:val="004D4673"/>
    <w:rsid w:val="004D4B41"/>
    <w:rsid w:val="004E09A9"/>
    <w:rsid w:val="004E131A"/>
    <w:rsid w:val="004E17BC"/>
    <w:rsid w:val="004E4637"/>
    <w:rsid w:val="004E4762"/>
    <w:rsid w:val="004E4A63"/>
    <w:rsid w:val="004E6164"/>
    <w:rsid w:val="004E66C7"/>
    <w:rsid w:val="004E7138"/>
    <w:rsid w:val="004E787F"/>
    <w:rsid w:val="004E7B5E"/>
    <w:rsid w:val="004E7BDF"/>
    <w:rsid w:val="004F0125"/>
    <w:rsid w:val="004F0218"/>
    <w:rsid w:val="004F15C0"/>
    <w:rsid w:val="004F2794"/>
    <w:rsid w:val="004F28C6"/>
    <w:rsid w:val="004F67FA"/>
    <w:rsid w:val="004F69F1"/>
    <w:rsid w:val="004F6D08"/>
    <w:rsid w:val="00500F89"/>
    <w:rsid w:val="0050159B"/>
    <w:rsid w:val="00502A88"/>
    <w:rsid w:val="00502D7E"/>
    <w:rsid w:val="00503933"/>
    <w:rsid w:val="00504AFF"/>
    <w:rsid w:val="00504F25"/>
    <w:rsid w:val="0050508C"/>
    <w:rsid w:val="0050520C"/>
    <w:rsid w:val="005052E2"/>
    <w:rsid w:val="005078F3"/>
    <w:rsid w:val="005078F4"/>
    <w:rsid w:val="0051036A"/>
    <w:rsid w:val="00510F44"/>
    <w:rsid w:val="00511A4A"/>
    <w:rsid w:val="00511EA2"/>
    <w:rsid w:val="005130AA"/>
    <w:rsid w:val="005132BA"/>
    <w:rsid w:val="00515033"/>
    <w:rsid w:val="005152F5"/>
    <w:rsid w:val="0051545C"/>
    <w:rsid w:val="00515DE0"/>
    <w:rsid w:val="00517831"/>
    <w:rsid w:val="0052089C"/>
    <w:rsid w:val="005212F6"/>
    <w:rsid w:val="00521D2D"/>
    <w:rsid w:val="00522572"/>
    <w:rsid w:val="005250F2"/>
    <w:rsid w:val="00526972"/>
    <w:rsid w:val="00527210"/>
    <w:rsid w:val="005278E6"/>
    <w:rsid w:val="00527E57"/>
    <w:rsid w:val="00530B8A"/>
    <w:rsid w:val="00531A49"/>
    <w:rsid w:val="005334D8"/>
    <w:rsid w:val="0053362D"/>
    <w:rsid w:val="00535A5C"/>
    <w:rsid w:val="00535D1F"/>
    <w:rsid w:val="005367A1"/>
    <w:rsid w:val="0053710C"/>
    <w:rsid w:val="00540FDF"/>
    <w:rsid w:val="005422AD"/>
    <w:rsid w:val="00542319"/>
    <w:rsid w:val="00544EF8"/>
    <w:rsid w:val="0054503E"/>
    <w:rsid w:val="00546056"/>
    <w:rsid w:val="00546B4C"/>
    <w:rsid w:val="00547B6C"/>
    <w:rsid w:val="0055046B"/>
    <w:rsid w:val="00550639"/>
    <w:rsid w:val="005509ED"/>
    <w:rsid w:val="00550E0E"/>
    <w:rsid w:val="0055135D"/>
    <w:rsid w:val="005515BD"/>
    <w:rsid w:val="0055190B"/>
    <w:rsid w:val="00552044"/>
    <w:rsid w:val="00552689"/>
    <w:rsid w:val="00552E86"/>
    <w:rsid w:val="005531BC"/>
    <w:rsid w:val="0055490F"/>
    <w:rsid w:val="0055521A"/>
    <w:rsid w:val="00557AF3"/>
    <w:rsid w:val="00560983"/>
    <w:rsid w:val="005609F2"/>
    <w:rsid w:val="005639CF"/>
    <w:rsid w:val="00566AC3"/>
    <w:rsid w:val="00570983"/>
    <w:rsid w:val="00570B40"/>
    <w:rsid w:val="00572DDC"/>
    <w:rsid w:val="0057351D"/>
    <w:rsid w:val="00576ADF"/>
    <w:rsid w:val="00576F8B"/>
    <w:rsid w:val="00577D74"/>
    <w:rsid w:val="0058071B"/>
    <w:rsid w:val="00580EFF"/>
    <w:rsid w:val="00581145"/>
    <w:rsid w:val="005818DE"/>
    <w:rsid w:val="00581AFE"/>
    <w:rsid w:val="00581E00"/>
    <w:rsid w:val="005839C5"/>
    <w:rsid w:val="00584EAA"/>
    <w:rsid w:val="00586100"/>
    <w:rsid w:val="0058619D"/>
    <w:rsid w:val="00586914"/>
    <w:rsid w:val="00586BED"/>
    <w:rsid w:val="00587658"/>
    <w:rsid w:val="0058769D"/>
    <w:rsid w:val="005879F8"/>
    <w:rsid w:val="00590669"/>
    <w:rsid w:val="0059137C"/>
    <w:rsid w:val="00591EFB"/>
    <w:rsid w:val="0059302D"/>
    <w:rsid w:val="00593EAB"/>
    <w:rsid w:val="0059474D"/>
    <w:rsid w:val="00594848"/>
    <w:rsid w:val="00595505"/>
    <w:rsid w:val="005966D6"/>
    <w:rsid w:val="00596A7C"/>
    <w:rsid w:val="005A0B65"/>
    <w:rsid w:val="005A0BAD"/>
    <w:rsid w:val="005A1E4D"/>
    <w:rsid w:val="005A1FAD"/>
    <w:rsid w:val="005A42AF"/>
    <w:rsid w:val="005A51B4"/>
    <w:rsid w:val="005A5CEF"/>
    <w:rsid w:val="005A7813"/>
    <w:rsid w:val="005A7DDF"/>
    <w:rsid w:val="005B032E"/>
    <w:rsid w:val="005B1F72"/>
    <w:rsid w:val="005B2287"/>
    <w:rsid w:val="005B27E1"/>
    <w:rsid w:val="005B2F3B"/>
    <w:rsid w:val="005B40EF"/>
    <w:rsid w:val="005B4636"/>
    <w:rsid w:val="005B51C0"/>
    <w:rsid w:val="005B629D"/>
    <w:rsid w:val="005B6513"/>
    <w:rsid w:val="005B6B4F"/>
    <w:rsid w:val="005C03D2"/>
    <w:rsid w:val="005C1A7F"/>
    <w:rsid w:val="005C1CB4"/>
    <w:rsid w:val="005C20AA"/>
    <w:rsid w:val="005C3AFF"/>
    <w:rsid w:val="005C416F"/>
    <w:rsid w:val="005C5BC4"/>
    <w:rsid w:val="005C7497"/>
    <w:rsid w:val="005C7913"/>
    <w:rsid w:val="005D0B8C"/>
    <w:rsid w:val="005D0CF3"/>
    <w:rsid w:val="005D2865"/>
    <w:rsid w:val="005D2B39"/>
    <w:rsid w:val="005D2DBE"/>
    <w:rsid w:val="005D40B1"/>
    <w:rsid w:val="005D44A9"/>
    <w:rsid w:val="005D5163"/>
    <w:rsid w:val="005D7B0B"/>
    <w:rsid w:val="005E0546"/>
    <w:rsid w:val="005E211F"/>
    <w:rsid w:val="005E269B"/>
    <w:rsid w:val="005E2DED"/>
    <w:rsid w:val="005E34CB"/>
    <w:rsid w:val="005E3EC8"/>
    <w:rsid w:val="005E42A8"/>
    <w:rsid w:val="005E5D0E"/>
    <w:rsid w:val="005E60D4"/>
    <w:rsid w:val="005E7038"/>
    <w:rsid w:val="005E7C1C"/>
    <w:rsid w:val="005F06F3"/>
    <w:rsid w:val="005F0B89"/>
    <w:rsid w:val="005F123E"/>
    <w:rsid w:val="005F43E5"/>
    <w:rsid w:val="005F455F"/>
    <w:rsid w:val="005F5168"/>
    <w:rsid w:val="005F6633"/>
    <w:rsid w:val="005F66B2"/>
    <w:rsid w:val="005F6AA8"/>
    <w:rsid w:val="005F7092"/>
    <w:rsid w:val="005F71A6"/>
    <w:rsid w:val="005F7D16"/>
    <w:rsid w:val="00600818"/>
    <w:rsid w:val="00600D3C"/>
    <w:rsid w:val="00600E21"/>
    <w:rsid w:val="0060270F"/>
    <w:rsid w:val="00602C76"/>
    <w:rsid w:val="00604371"/>
    <w:rsid w:val="00604933"/>
    <w:rsid w:val="00604C95"/>
    <w:rsid w:val="0060706A"/>
    <w:rsid w:val="00610415"/>
    <w:rsid w:val="00610A08"/>
    <w:rsid w:val="0061107B"/>
    <w:rsid w:val="00611860"/>
    <w:rsid w:val="00612C0E"/>
    <w:rsid w:val="00615126"/>
    <w:rsid w:val="00616832"/>
    <w:rsid w:val="0061745F"/>
    <w:rsid w:val="0061795E"/>
    <w:rsid w:val="0062063F"/>
    <w:rsid w:val="00621001"/>
    <w:rsid w:val="0062289D"/>
    <w:rsid w:val="00623E10"/>
    <w:rsid w:val="00624375"/>
    <w:rsid w:val="006249F8"/>
    <w:rsid w:val="00624ABB"/>
    <w:rsid w:val="00625593"/>
    <w:rsid w:val="0062572B"/>
    <w:rsid w:val="006259D1"/>
    <w:rsid w:val="006276B8"/>
    <w:rsid w:val="00627A84"/>
    <w:rsid w:val="006313DE"/>
    <w:rsid w:val="006316C5"/>
    <w:rsid w:val="00631CDF"/>
    <w:rsid w:val="00632657"/>
    <w:rsid w:val="00632D00"/>
    <w:rsid w:val="006331E1"/>
    <w:rsid w:val="006334CA"/>
    <w:rsid w:val="00633A5F"/>
    <w:rsid w:val="00633D4D"/>
    <w:rsid w:val="0063406A"/>
    <w:rsid w:val="00635768"/>
    <w:rsid w:val="0063668A"/>
    <w:rsid w:val="006379B0"/>
    <w:rsid w:val="006400CD"/>
    <w:rsid w:val="006402F6"/>
    <w:rsid w:val="00640824"/>
    <w:rsid w:val="00641885"/>
    <w:rsid w:val="00643238"/>
    <w:rsid w:val="00644043"/>
    <w:rsid w:val="006444EA"/>
    <w:rsid w:val="0064480A"/>
    <w:rsid w:val="00644DE0"/>
    <w:rsid w:val="00645904"/>
    <w:rsid w:val="006464EA"/>
    <w:rsid w:val="006466F6"/>
    <w:rsid w:val="00646C27"/>
    <w:rsid w:val="00646DEC"/>
    <w:rsid w:val="006473AC"/>
    <w:rsid w:val="0064785F"/>
    <w:rsid w:val="0065085D"/>
    <w:rsid w:val="00650998"/>
    <w:rsid w:val="006510F5"/>
    <w:rsid w:val="00651DC3"/>
    <w:rsid w:val="0065246B"/>
    <w:rsid w:val="006526E2"/>
    <w:rsid w:val="00652D9F"/>
    <w:rsid w:val="00652E93"/>
    <w:rsid w:val="006534BB"/>
    <w:rsid w:val="00653AFB"/>
    <w:rsid w:val="00654648"/>
    <w:rsid w:val="006554F4"/>
    <w:rsid w:val="00656397"/>
    <w:rsid w:val="00660463"/>
    <w:rsid w:val="0066185F"/>
    <w:rsid w:val="006618BE"/>
    <w:rsid w:val="00662EC7"/>
    <w:rsid w:val="006636EA"/>
    <w:rsid w:val="006639A0"/>
    <w:rsid w:val="00663C56"/>
    <w:rsid w:val="00664659"/>
    <w:rsid w:val="00665EF7"/>
    <w:rsid w:val="00667A23"/>
    <w:rsid w:val="00667D9D"/>
    <w:rsid w:val="00670066"/>
    <w:rsid w:val="006703BE"/>
    <w:rsid w:val="006714A1"/>
    <w:rsid w:val="00671523"/>
    <w:rsid w:val="00672018"/>
    <w:rsid w:val="00672B9A"/>
    <w:rsid w:val="0067494C"/>
    <w:rsid w:val="00674D84"/>
    <w:rsid w:val="006759A3"/>
    <w:rsid w:val="006763DF"/>
    <w:rsid w:val="006773EB"/>
    <w:rsid w:val="006778C9"/>
    <w:rsid w:val="0068152A"/>
    <w:rsid w:val="00681C90"/>
    <w:rsid w:val="00682F62"/>
    <w:rsid w:val="0068310B"/>
    <w:rsid w:val="00683C9A"/>
    <w:rsid w:val="00684130"/>
    <w:rsid w:val="0068532D"/>
    <w:rsid w:val="0068544C"/>
    <w:rsid w:val="006863C2"/>
    <w:rsid w:val="006871ED"/>
    <w:rsid w:val="006875BB"/>
    <w:rsid w:val="00687729"/>
    <w:rsid w:val="00690F69"/>
    <w:rsid w:val="00691096"/>
    <w:rsid w:val="006916E2"/>
    <w:rsid w:val="006927B4"/>
    <w:rsid w:val="0069348F"/>
    <w:rsid w:val="00695991"/>
    <w:rsid w:val="006960ED"/>
    <w:rsid w:val="006A0B3C"/>
    <w:rsid w:val="006A22B6"/>
    <w:rsid w:val="006A4735"/>
    <w:rsid w:val="006A4FF4"/>
    <w:rsid w:val="006A505E"/>
    <w:rsid w:val="006A54EF"/>
    <w:rsid w:val="006A5823"/>
    <w:rsid w:val="006A657E"/>
    <w:rsid w:val="006A69EC"/>
    <w:rsid w:val="006A73E4"/>
    <w:rsid w:val="006A766D"/>
    <w:rsid w:val="006A7920"/>
    <w:rsid w:val="006B06F3"/>
    <w:rsid w:val="006B1F0C"/>
    <w:rsid w:val="006B229C"/>
    <w:rsid w:val="006B24DB"/>
    <w:rsid w:val="006B2610"/>
    <w:rsid w:val="006B32D6"/>
    <w:rsid w:val="006B348C"/>
    <w:rsid w:val="006B4F43"/>
    <w:rsid w:val="006B5BEE"/>
    <w:rsid w:val="006B6080"/>
    <w:rsid w:val="006B6504"/>
    <w:rsid w:val="006B6796"/>
    <w:rsid w:val="006B6A79"/>
    <w:rsid w:val="006C06AD"/>
    <w:rsid w:val="006C12F7"/>
    <w:rsid w:val="006C15A2"/>
    <w:rsid w:val="006C32A1"/>
    <w:rsid w:val="006C34C9"/>
    <w:rsid w:val="006C386A"/>
    <w:rsid w:val="006C3C0D"/>
    <w:rsid w:val="006C3CB6"/>
    <w:rsid w:val="006C41D2"/>
    <w:rsid w:val="006C5C62"/>
    <w:rsid w:val="006C6055"/>
    <w:rsid w:val="006C66F2"/>
    <w:rsid w:val="006C672B"/>
    <w:rsid w:val="006C6C34"/>
    <w:rsid w:val="006C6C8A"/>
    <w:rsid w:val="006C74FD"/>
    <w:rsid w:val="006C772F"/>
    <w:rsid w:val="006D2157"/>
    <w:rsid w:val="006D24B2"/>
    <w:rsid w:val="006D2749"/>
    <w:rsid w:val="006D38A9"/>
    <w:rsid w:val="006D40EA"/>
    <w:rsid w:val="006D5121"/>
    <w:rsid w:val="006D559C"/>
    <w:rsid w:val="006D5762"/>
    <w:rsid w:val="006D6FA0"/>
    <w:rsid w:val="006D7238"/>
    <w:rsid w:val="006D7B5C"/>
    <w:rsid w:val="006D7DB6"/>
    <w:rsid w:val="006E1E78"/>
    <w:rsid w:val="006E2318"/>
    <w:rsid w:val="006E2377"/>
    <w:rsid w:val="006E351A"/>
    <w:rsid w:val="006E3B9C"/>
    <w:rsid w:val="006E3C67"/>
    <w:rsid w:val="006E4144"/>
    <w:rsid w:val="006E4302"/>
    <w:rsid w:val="006E5568"/>
    <w:rsid w:val="006E570D"/>
    <w:rsid w:val="006E5CC3"/>
    <w:rsid w:val="006E6368"/>
    <w:rsid w:val="006E6FB7"/>
    <w:rsid w:val="006E7C71"/>
    <w:rsid w:val="006F01F6"/>
    <w:rsid w:val="006F0EB8"/>
    <w:rsid w:val="006F21EB"/>
    <w:rsid w:val="006F2BB3"/>
    <w:rsid w:val="006F45CA"/>
    <w:rsid w:val="006F4D7B"/>
    <w:rsid w:val="006F58A0"/>
    <w:rsid w:val="006F6596"/>
    <w:rsid w:val="007000B0"/>
    <w:rsid w:val="00702DC5"/>
    <w:rsid w:val="00704054"/>
    <w:rsid w:val="007047BB"/>
    <w:rsid w:val="00704962"/>
    <w:rsid w:val="00706399"/>
    <w:rsid w:val="007072A1"/>
    <w:rsid w:val="0070767A"/>
    <w:rsid w:val="00707B49"/>
    <w:rsid w:val="00710943"/>
    <w:rsid w:val="00711CAC"/>
    <w:rsid w:val="0071247E"/>
    <w:rsid w:val="007126D0"/>
    <w:rsid w:val="00712F69"/>
    <w:rsid w:val="00714F5A"/>
    <w:rsid w:val="007157B0"/>
    <w:rsid w:val="00716C7C"/>
    <w:rsid w:val="00717369"/>
    <w:rsid w:val="0072004C"/>
    <w:rsid w:val="00720D6A"/>
    <w:rsid w:val="0072161D"/>
    <w:rsid w:val="00721A50"/>
    <w:rsid w:val="0072426D"/>
    <w:rsid w:val="00724E00"/>
    <w:rsid w:val="007261EA"/>
    <w:rsid w:val="00726715"/>
    <w:rsid w:val="0072745E"/>
    <w:rsid w:val="00730016"/>
    <w:rsid w:val="00730996"/>
    <w:rsid w:val="00730E12"/>
    <w:rsid w:val="007319E4"/>
    <w:rsid w:val="00731E64"/>
    <w:rsid w:val="00732D41"/>
    <w:rsid w:val="00733626"/>
    <w:rsid w:val="00733D99"/>
    <w:rsid w:val="0073584F"/>
    <w:rsid w:val="00735CA0"/>
    <w:rsid w:val="00735DEC"/>
    <w:rsid w:val="007365C2"/>
    <w:rsid w:val="0073778C"/>
    <w:rsid w:val="007409E3"/>
    <w:rsid w:val="0074410E"/>
    <w:rsid w:val="00744430"/>
    <w:rsid w:val="00744FF6"/>
    <w:rsid w:val="00745E33"/>
    <w:rsid w:val="0074726C"/>
    <w:rsid w:val="007477B5"/>
    <w:rsid w:val="00747915"/>
    <w:rsid w:val="00751755"/>
    <w:rsid w:val="00752110"/>
    <w:rsid w:val="00753DCD"/>
    <w:rsid w:val="00754BFE"/>
    <w:rsid w:val="00754EB9"/>
    <w:rsid w:val="007550B4"/>
    <w:rsid w:val="007557C0"/>
    <w:rsid w:val="00755C12"/>
    <w:rsid w:val="00755D5C"/>
    <w:rsid w:val="00757921"/>
    <w:rsid w:val="00757BFC"/>
    <w:rsid w:val="00760E07"/>
    <w:rsid w:val="00761EA6"/>
    <w:rsid w:val="00761EFC"/>
    <w:rsid w:val="007628F8"/>
    <w:rsid w:val="00762C09"/>
    <w:rsid w:val="00763C7D"/>
    <w:rsid w:val="00763DC7"/>
    <w:rsid w:val="00763EDB"/>
    <w:rsid w:val="00767A1E"/>
    <w:rsid w:val="007700BE"/>
    <w:rsid w:val="00770490"/>
    <w:rsid w:val="00770A6D"/>
    <w:rsid w:val="0077334C"/>
    <w:rsid w:val="00773498"/>
    <w:rsid w:val="0077392D"/>
    <w:rsid w:val="007750B4"/>
    <w:rsid w:val="007752A6"/>
    <w:rsid w:val="007759E3"/>
    <w:rsid w:val="00777303"/>
    <w:rsid w:val="0077767C"/>
    <w:rsid w:val="00777EF3"/>
    <w:rsid w:val="00781590"/>
    <w:rsid w:val="00782348"/>
    <w:rsid w:val="00782564"/>
    <w:rsid w:val="00782A19"/>
    <w:rsid w:val="007834CD"/>
    <w:rsid w:val="00783AFB"/>
    <w:rsid w:val="0078494F"/>
    <w:rsid w:val="00785893"/>
    <w:rsid w:val="00786293"/>
    <w:rsid w:val="00786CB1"/>
    <w:rsid w:val="007875F7"/>
    <w:rsid w:val="00790835"/>
    <w:rsid w:val="007913A6"/>
    <w:rsid w:val="0079195B"/>
    <w:rsid w:val="00791C5F"/>
    <w:rsid w:val="0079265B"/>
    <w:rsid w:val="007929CE"/>
    <w:rsid w:val="00793230"/>
    <w:rsid w:val="007942DA"/>
    <w:rsid w:val="00794303"/>
    <w:rsid w:val="00794849"/>
    <w:rsid w:val="00794FF0"/>
    <w:rsid w:val="00796AAA"/>
    <w:rsid w:val="007A0684"/>
    <w:rsid w:val="007A0EB9"/>
    <w:rsid w:val="007A12B6"/>
    <w:rsid w:val="007A13DE"/>
    <w:rsid w:val="007A1943"/>
    <w:rsid w:val="007A2FA2"/>
    <w:rsid w:val="007A306C"/>
    <w:rsid w:val="007A3575"/>
    <w:rsid w:val="007A3FBD"/>
    <w:rsid w:val="007A4AC1"/>
    <w:rsid w:val="007A4AF2"/>
    <w:rsid w:val="007A4B46"/>
    <w:rsid w:val="007A4CE5"/>
    <w:rsid w:val="007A5B3A"/>
    <w:rsid w:val="007A5D7D"/>
    <w:rsid w:val="007A6307"/>
    <w:rsid w:val="007A7159"/>
    <w:rsid w:val="007A7244"/>
    <w:rsid w:val="007B0976"/>
    <w:rsid w:val="007B0ABA"/>
    <w:rsid w:val="007B0FB8"/>
    <w:rsid w:val="007B27D8"/>
    <w:rsid w:val="007B5A13"/>
    <w:rsid w:val="007B6631"/>
    <w:rsid w:val="007C01D7"/>
    <w:rsid w:val="007C1189"/>
    <w:rsid w:val="007C2443"/>
    <w:rsid w:val="007C285C"/>
    <w:rsid w:val="007C2FF9"/>
    <w:rsid w:val="007C33A6"/>
    <w:rsid w:val="007C3442"/>
    <w:rsid w:val="007C4182"/>
    <w:rsid w:val="007C51FC"/>
    <w:rsid w:val="007C527D"/>
    <w:rsid w:val="007C56EF"/>
    <w:rsid w:val="007C6988"/>
    <w:rsid w:val="007D07C1"/>
    <w:rsid w:val="007D07F8"/>
    <w:rsid w:val="007D0F6F"/>
    <w:rsid w:val="007D286F"/>
    <w:rsid w:val="007D2A80"/>
    <w:rsid w:val="007D3703"/>
    <w:rsid w:val="007D3A89"/>
    <w:rsid w:val="007D3F7F"/>
    <w:rsid w:val="007D437E"/>
    <w:rsid w:val="007D5277"/>
    <w:rsid w:val="007D5B6D"/>
    <w:rsid w:val="007D5C45"/>
    <w:rsid w:val="007D60F3"/>
    <w:rsid w:val="007D616F"/>
    <w:rsid w:val="007D6452"/>
    <w:rsid w:val="007D7B43"/>
    <w:rsid w:val="007E0736"/>
    <w:rsid w:val="007E08AA"/>
    <w:rsid w:val="007E0AB9"/>
    <w:rsid w:val="007E12C0"/>
    <w:rsid w:val="007E1DCE"/>
    <w:rsid w:val="007E1DD4"/>
    <w:rsid w:val="007E351C"/>
    <w:rsid w:val="007E387D"/>
    <w:rsid w:val="007E549E"/>
    <w:rsid w:val="007E6340"/>
    <w:rsid w:val="007E6E5C"/>
    <w:rsid w:val="007E7530"/>
    <w:rsid w:val="007E7BBB"/>
    <w:rsid w:val="007F0506"/>
    <w:rsid w:val="007F1AC5"/>
    <w:rsid w:val="007F1D7B"/>
    <w:rsid w:val="007F3620"/>
    <w:rsid w:val="007F427D"/>
    <w:rsid w:val="007F45AF"/>
    <w:rsid w:val="007F607B"/>
    <w:rsid w:val="007F6305"/>
    <w:rsid w:val="007F6C15"/>
    <w:rsid w:val="007F7077"/>
    <w:rsid w:val="007F799E"/>
    <w:rsid w:val="00800812"/>
    <w:rsid w:val="00800CF6"/>
    <w:rsid w:val="008013A8"/>
    <w:rsid w:val="008013E3"/>
    <w:rsid w:val="0080158F"/>
    <w:rsid w:val="0080242F"/>
    <w:rsid w:val="00802859"/>
    <w:rsid w:val="00802A84"/>
    <w:rsid w:val="00803818"/>
    <w:rsid w:val="00803DF1"/>
    <w:rsid w:val="00804099"/>
    <w:rsid w:val="00804B04"/>
    <w:rsid w:val="00804BE4"/>
    <w:rsid w:val="00805038"/>
    <w:rsid w:val="0080688C"/>
    <w:rsid w:val="008076D7"/>
    <w:rsid w:val="008100B1"/>
    <w:rsid w:val="00810433"/>
    <w:rsid w:val="00810553"/>
    <w:rsid w:val="00810954"/>
    <w:rsid w:val="00810DDE"/>
    <w:rsid w:val="00811C7D"/>
    <w:rsid w:val="008127BC"/>
    <w:rsid w:val="00813D9C"/>
    <w:rsid w:val="00814D2E"/>
    <w:rsid w:val="0081517B"/>
    <w:rsid w:val="0081593B"/>
    <w:rsid w:val="00815E88"/>
    <w:rsid w:val="00816131"/>
    <w:rsid w:val="0081654E"/>
    <w:rsid w:val="00817050"/>
    <w:rsid w:val="008206CE"/>
    <w:rsid w:val="0082082F"/>
    <w:rsid w:val="00821771"/>
    <w:rsid w:val="008222D2"/>
    <w:rsid w:val="0082264F"/>
    <w:rsid w:val="00823406"/>
    <w:rsid w:val="008239F2"/>
    <w:rsid w:val="008267D3"/>
    <w:rsid w:val="00826B2F"/>
    <w:rsid w:val="00830074"/>
    <w:rsid w:val="008304FD"/>
    <w:rsid w:val="00832B90"/>
    <w:rsid w:val="00832F62"/>
    <w:rsid w:val="00833FA7"/>
    <w:rsid w:val="0083605A"/>
    <w:rsid w:val="008365A0"/>
    <w:rsid w:val="00836611"/>
    <w:rsid w:val="00836652"/>
    <w:rsid w:val="00836D91"/>
    <w:rsid w:val="00837BAB"/>
    <w:rsid w:val="00837E15"/>
    <w:rsid w:val="00840625"/>
    <w:rsid w:val="008414A8"/>
    <w:rsid w:val="008416CE"/>
    <w:rsid w:val="00841C82"/>
    <w:rsid w:val="0084371B"/>
    <w:rsid w:val="0084421F"/>
    <w:rsid w:val="00847277"/>
    <w:rsid w:val="00847395"/>
    <w:rsid w:val="00850CC4"/>
    <w:rsid w:val="00850D81"/>
    <w:rsid w:val="00851396"/>
    <w:rsid w:val="00852E4F"/>
    <w:rsid w:val="008539D0"/>
    <w:rsid w:val="008549A9"/>
    <w:rsid w:val="0085533E"/>
    <w:rsid w:val="00856077"/>
    <w:rsid w:val="008563E1"/>
    <w:rsid w:val="00856BA6"/>
    <w:rsid w:val="00857BA6"/>
    <w:rsid w:val="008600E8"/>
    <w:rsid w:val="008608CF"/>
    <w:rsid w:val="00862B2E"/>
    <w:rsid w:val="008633AD"/>
    <w:rsid w:val="00863690"/>
    <w:rsid w:val="008637AE"/>
    <w:rsid w:val="0086380E"/>
    <w:rsid w:val="00863DA4"/>
    <w:rsid w:val="008649FF"/>
    <w:rsid w:val="00865062"/>
    <w:rsid w:val="00866B11"/>
    <w:rsid w:val="00866E7D"/>
    <w:rsid w:val="00866F97"/>
    <w:rsid w:val="008677DD"/>
    <w:rsid w:val="008727C2"/>
    <w:rsid w:val="00872DF1"/>
    <w:rsid w:val="0087351F"/>
    <w:rsid w:val="00873604"/>
    <w:rsid w:val="00873967"/>
    <w:rsid w:val="00873DE5"/>
    <w:rsid w:val="008744A3"/>
    <w:rsid w:val="00874971"/>
    <w:rsid w:val="0087500A"/>
    <w:rsid w:val="008775E3"/>
    <w:rsid w:val="00881218"/>
    <w:rsid w:val="008819D4"/>
    <w:rsid w:val="00882521"/>
    <w:rsid w:val="00882D38"/>
    <w:rsid w:val="00883B4D"/>
    <w:rsid w:val="00883D32"/>
    <w:rsid w:val="008842D4"/>
    <w:rsid w:val="0088441E"/>
    <w:rsid w:val="00884670"/>
    <w:rsid w:val="00884907"/>
    <w:rsid w:val="00884EBB"/>
    <w:rsid w:val="00885A05"/>
    <w:rsid w:val="00885ED6"/>
    <w:rsid w:val="00886A90"/>
    <w:rsid w:val="00886FFF"/>
    <w:rsid w:val="00887479"/>
    <w:rsid w:val="00887B9B"/>
    <w:rsid w:val="00887CCA"/>
    <w:rsid w:val="00891646"/>
    <w:rsid w:val="00892F7D"/>
    <w:rsid w:val="00894886"/>
    <w:rsid w:val="00894B00"/>
    <w:rsid w:val="00895885"/>
    <w:rsid w:val="00895B0D"/>
    <w:rsid w:val="00896D19"/>
    <w:rsid w:val="00897194"/>
    <w:rsid w:val="0089733E"/>
    <w:rsid w:val="00897533"/>
    <w:rsid w:val="00897A41"/>
    <w:rsid w:val="008A01E0"/>
    <w:rsid w:val="008A063E"/>
    <w:rsid w:val="008A0E10"/>
    <w:rsid w:val="008A0F77"/>
    <w:rsid w:val="008A1A75"/>
    <w:rsid w:val="008A2851"/>
    <w:rsid w:val="008A44C5"/>
    <w:rsid w:val="008A4603"/>
    <w:rsid w:val="008A4D5A"/>
    <w:rsid w:val="008A58B3"/>
    <w:rsid w:val="008A5944"/>
    <w:rsid w:val="008A65F8"/>
    <w:rsid w:val="008A6CD9"/>
    <w:rsid w:val="008A70AA"/>
    <w:rsid w:val="008A7C55"/>
    <w:rsid w:val="008B02B4"/>
    <w:rsid w:val="008B26ED"/>
    <w:rsid w:val="008B29D2"/>
    <w:rsid w:val="008B2DBA"/>
    <w:rsid w:val="008B3785"/>
    <w:rsid w:val="008B3A07"/>
    <w:rsid w:val="008B5D09"/>
    <w:rsid w:val="008B5F1E"/>
    <w:rsid w:val="008B6D35"/>
    <w:rsid w:val="008B6DE8"/>
    <w:rsid w:val="008C0626"/>
    <w:rsid w:val="008C21C3"/>
    <w:rsid w:val="008C2CE0"/>
    <w:rsid w:val="008C39C9"/>
    <w:rsid w:val="008C4380"/>
    <w:rsid w:val="008C4C6F"/>
    <w:rsid w:val="008C7C6E"/>
    <w:rsid w:val="008D1FAB"/>
    <w:rsid w:val="008D34DE"/>
    <w:rsid w:val="008E0367"/>
    <w:rsid w:val="008E0459"/>
    <w:rsid w:val="008E0893"/>
    <w:rsid w:val="008E0937"/>
    <w:rsid w:val="008E0D47"/>
    <w:rsid w:val="008E0E31"/>
    <w:rsid w:val="008E0EA8"/>
    <w:rsid w:val="008E1156"/>
    <w:rsid w:val="008E127D"/>
    <w:rsid w:val="008E1580"/>
    <w:rsid w:val="008E16B4"/>
    <w:rsid w:val="008E229B"/>
    <w:rsid w:val="008E23BC"/>
    <w:rsid w:val="008E2F45"/>
    <w:rsid w:val="008E5456"/>
    <w:rsid w:val="008E7521"/>
    <w:rsid w:val="008E75C7"/>
    <w:rsid w:val="008E78E3"/>
    <w:rsid w:val="008E7EC8"/>
    <w:rsid w:val="008F07B8"/>
    <w:rsid w:val="008F0FB8"/>
    <w:rsid w:val="008F1075"/>
    <w:rsid w:val="008F1EC4"/>
    <w:rsid w:val="008F21A3"/>
    <w:rsid w:val="008F2865"/>
    <w:rsid w:val="008F288E"/>
    <w:rsid w:val="008F4408"/>
    <w:rsid w:val="008F4DCC"/>
    <w:rsid w:val="008F6473"/>
    <w:rsid w:val="008F6ACD"/>
    <w:rsid w:val="008F6CB3"/>
    <w:rsid w:val="008F76C3"/>
    <w:rsid w:val="00900174"/>
    <w:rsid w:val="009002A4"/>
    <w:rsid w:val="00901552"/>
    <w:rsid w:val="00901659"/>
    <w:rsid w:val="009035E6"/>
    <w:rsid w:val="00903687"/>
    <w:rsid w:val="00903893"/>
    <w:rsid w:val="00903EC7"/>
    <w:rsid w:val="00903FAC"/>
    <w:rsid w:val="00904689"/>
    <w:rsid w:val="00904964"/>
    <w:rsid w:val="0090514C"/>
    <w:rsid w:val="0090593F"/>
    <w:rsid w:val="009100A8"/>
    <w:rsid w:val="0091078F"/>
    <w:rsid w:val="00911E65"/>
    <w:rsid w:val="00912B22"/>
    <w:rsid w:val="00915917"/>
    <w:rsid w:val="00917BF2"/>
    <w:rsid w:val="00920D3D"/>
    <w:rsid w:val="00923099"/>
    <w:rsid w:val="00923E91"/>
    <w:rsid w:val="00923F04"/>
    <w:rsid w:val="009240C9"/>
    <w:rsid w:val="009259ED"/>
    <w:rsid w:val="00926922"/>
    <w:rsid w:val="00927575"/>
    <w:rsid w:val="009279A0"/>
    <w:rsid w:val="0093105A"/>
    <w:rsid w:val="009313E7"/>
    <w:rsid w:val="009314F4"/>
    <w:rsid w:val="00931D83"/>
    <w:rsid w:val="00932623"/>
    <w:rsid w:val="00934B7E"/>
    <w:rsid w:val="0093520F"/>
    <w:rsid w:val="00935DF1"/>
    <w:rsid w:val="00935F5C"/>
    <w:rsid w:val="00936180"/>
    <w:rsid w:val="0093634F"/>
    <w:rsid w:val="00937172"/>
    <w:rsid w:val="00937695"/>
    <w:rsid w:val="00940D0F"/>
    <w:rsid w:val="0094165F"/>
    <w:rsid w:val="0094175C"/>
    <w:rsid w:val="00941F70"/>
    <w:rsid w:val="009425E5"/>
    <w:rsid w:val="009427BC"/>
    <w:rsid w:val="00944223"/>
    <w:rsid w:val="0094430C"/>
    <w:rsid w:val="00944482"/>
    <w:rsid w:val="00944CCB"/>
    <w:rsid w:val="009455CC"/>
    <w:rsid w:val="009466B2"/>
    <w:rsid w:val="00946CEF"/>
    <w:rsid w:val="00947D0B"/>
    <w:rsid w:val="009506A6"/>
    <w:rsid w:val="00951B6B"/>
    <w:rsid w:val="00952DEA"/>
    <w:rsid w:val="0095397F"/>
    <w:rsid w:val="00953E2B"/>
    <w:rsid w:val="009543F2"/>
    <w:rsid w:val="00955303"/>
    <w:rsid w:val="00955A1D"/>
    <w:rsid w:val="009603CF"/>
    <w:rsid w:val="00960762"/>
    <w:rsid w:val="0096147F"/>
    <w:rsid w:val="00961559"/>
    <w:rsid w:val="00961801"/>
    <w:rsid w:val="00961F44"/>
    <w:rsid w:val="00962F1B"/>
    <w:rsid w:val="00963A43"/>
    <w:rsid w:val="00963F0A"/>
    <w:rsid w:val="009645D4"/>
    <w:rsid w:val="00965407"/>
    <w:rsid w:val="00966775"/>
    <w:rsid w:val="00970434"/>
    <w:rsid w:val="00971217"/>
    <w:rsid w:val="00975C30"/>
    <w:rsid w:val="00976062"/>
    <w:rsid w:val="00976228"/>
    <w:rsid w:val="0097696A"/>
    <w:rsid w:val="00976ED2"/>
    <w:rsid w:val="009815C6"/>
    <w:rsid w:val="00982BA5"/>
    <w:rsid w:val="00982CEC"/>
    <w:rsid w:val="009837ED"/>
    <w:rsid w:val="00983F97"/>
    <w:rsid w:val="00985529"/>
    <w:rsid w:val="00986C40"/>
    <w:rsid w:val="00986F42"/>
    <w:rsid w:val="009870B9"/>
    <w:rsid w:val="00987F72"/>
    <w:rsid w:val="0099024F"/>
    <w:rsid w:val="009902F4"/>
    <w:rsid w:val="00991096"/>
    <w:rsid w:val="00991252"/>
    <w:rsid w:val="0099311B"/>
    <w:rsid w:val="00993643"/>
    <w:rsid w:val="00993A52"/>
    <w:rsid w:val="00993BE9"/>
    <w:rsid w:val="00994442"/>
    <w:rsid w:val="0099592E"/>
    <w:rsid w:val="0099650C"/>
    <w:rsid w:val="00997ABB"/>
    <w:rsid w:val="00997CA3"/>
    <w:rsid w:val="009A1163"/>
    <w:rsid w:val="009A2F0C"/>
    <w:rsid w:val="009A3D12"/>
    <w:rsid w:val="009A4FEE"/>
    <w:rsid w:val="009A5C53"/>
    <w:rsid w:val="009A7FF4"/>
    <w:rsid w:val="009B067C"/>
    <w:rsid w:val="009B0ACD"/>
    <w:rsid w:val="009B0AF9"/>
    <w:rsid w:val="009B1078"/>
    <w:rsid w:val="009B1EC6"/>
    <w:rsid w:val="009B21F9"/>
    <w:rsid w:val="009B2480"/>
    <w:rsid w:val="009B323E"/>
    <w:rsid w:val="009B45EF"/>
    <w:rsid w:val="009B4BE1"/>
    <w:rsid w:val="009B53EB"/>
    <w:rsid w:val="009B55CA"/>
    <w:rsid w:val="009B58BB"/>
    <w:rsid w:val="009B6B2E"/>
    <w:rsid w:val="009B7D14"/>
    <w:rsid w:val="009C0BD6"/>
    <w:rsid w:val="009C116F"/>
    <w:rsid w:val="009C2E4A"/>
    <w:rsid w:val="009C35E4"/>
    <w:rsid w:val="009C3942"/>
    <w:rsid w:val="009C4502"/>
    <w:rsid w:val="009C5202"/>
    <w:rsid w:val="009C5B9A"/>
    <w:rsid w:val="009C5D4F"/>
    <w:rsid w:val="009C6342"/>
    <w:rsid w:val="009C690C"/>
    <w:rsid w:val="009C745F"/>
    <w:rsid w:val="009C76BA"/>
    <w:rsid w:val="009C7BFE"/>
    <w:rsid w:val="009D032B"/>
    <w:rsid w:val="009D07A3"/>
    <w:rsid w:val="009D087A"/>
    <w:rsid w:val="009D1F10"/>
    <w:rsid w:val="009D3200"/>
    <w:rsid w:val="009D35BE"/>
    <w:rsid w:val="009D4E9E"/>
    <w:rsid w:val="009D4FE2"/>
    <w:rsid w:val="009D5C52"/>
    <w:rsid w:val="009D6BB9"/>
    <w:rsid w:val="009E41DB"/>
    <w:rsid w:val="009E5438"/>
    <w:rsid w:val="009E580F"/>
    <w:rsid w:val="009E6578"/>
    <w:rsid w:val="009E7266"/>
    <w:rsid w:val="009E7436"/>
    <w:rsid w:val="009E79E8"/>
    <w:rsid w:val="009E7A69"/>
    <w:rsid w:val="009E7C26"/>
    <w:rsid w:val="009E7FEE"/>
    <w:rsid w:val="009F1737"/>
    <w:rsid w:val="009F1BC4"/>
    <w:rsid w:val="009F2820"/>
    <w:rsid w:val="009F2F35"/>
    <w:rsid w:val="009F4EEF"/>
    <w:rsid w:val="009F5D61"/>
    <w:rsid w:val="009F614B"/>
    <w:rsid w:val="009F725C"/>
    <w:rsid w:val="009F75CA"/>
    <w:rsid w:val="009F775A"/>
    <w:rsid w:val="009F786F"/>
    <w:rsid w:val="009F7FEA"/>
    <w:rsid w:val="00A00806"/>
    <w:rsid w:val="00A02A63"/>
    <w:rsid w:val="00A035A8"/>
    <w:rsid w:val="00A040FD"/>
    <w:rsid w:val="00A0535F"/>
    <w:rsid w:val="00A0661A"/>
    <w:rsid w:val="00A066F5"/>
    <w:rsid w:val="00A069B3"/>
    <w:rsid w:val="00A06E72"/>
    <w:rsid w:val="00A073FD"/>
    <w:rsid w:val="00A07C76"/>
    <w:rsid w:val="00A10440"/>
    <w:rsid w:val="00A11C69"/>
    <w:rsid w:val="00A12229"/>
    <w:rsid w:val="00A12720"/>
    <w:rsid w:val="00A128EC"/>
    <w:rsid w:val="00A129CB"/>
    <w:rsid w:val="00A134CF"/>
    <w:rsid w:val="00A13C16"/>
    <w:rsid w:val="00A144F4"/>
    <w:rsid w:val="00A14DDD"/>
    <w:rsid w:val="00A1640C"/>
    <w:rsid w:val="00A165F2"/>
    <w:rsid w:val="00A17AB4"/>
    <w:rsid w:val="00A20636"/>
    <w:rsid w:val="00A20D9D"/>
    <w:rsid w:val="00A20E68"/>
    <w:rsid w:val="00A220E7"/>
    <w:rsid w:val="00A22A81"/>
    <w:rsid w:val="00A242BE"/>
    <w:rsid w:val="00A25D77"/>
    <w:rsid w:val="00A26483"/>
    <w:rsid w:val="00A2669C"/>
    <w:rsid w:val="00A26F7C"/>
    <w:rsid w:val="00A27265"/>
    <w:rsid w:val="00A2728D"/>
    <w:rsid w:val="00A3042C"/>
    <w:rsid w:val="00A310E6"/>
    <w:rsid w:val="00A31538"/>
    <w:rsid w:val="00A3316C"/>
    <w:rsid w:val="00A3393C"/>
    <w:rsid w:val="00A33BAD"/>
    <w:rsid w:val="00A3423A"/>
    <w:rsid w:val="00A342AE"/>
    <w:rsid w:val="00A34790"/>
    <w:rsid w:val="00A34B26"/>
    <w:rsid w:val="00A34FE0"/>
    <w:rsid w:val="00A354BE"/>
    <w:rsid w:val="00A358E9"/>
    <w:rsid w:val="00A35BA5"/>
    <w:rsid w:val="00A3635C"/>
    <w:rsid w:val="00A36958"/>
    <w:rsid w:val="00A374AA"/>
    <w:rsid w:val="00A37A1F"/>
    <w:rsid w:val="00A37BE1"/>
    <w:rsid w:val="00A40D21"/>
    <w:rsid w:val="00A41A92"/>
    <w:rsid w:val="00A41DF5"/>
    <w:rsid w:val="00A42366"/>
    <w:rsid w:val="00A43145"/>
    <w:rsid w:val="00A441FB"/>
    <w:rsid w:val="00A44900"/>
    <w:rsid w:val="00A44D72"/>
    <w:rsid w:val="00A46D9C"/>
    <w:rsid w:val="00A46F70"/>
    <w:rsid w:val="00A47CFA"/>
    <w:rsid w:val="00A47E51"/>
    <w:rsid w:val="00A51A7F"/>
    <w:rsid w:val="00A52F94"/>
    <w:rsid w:val="00A531C3"/>
    <w:rsid w:val="00A5429B"/>
    <w:rsid w:val="00A543AC"/>
    <w:rsid w:val="00A549F0"/>
    <w:rsid w:val="00A54DAC"/>
    <w:rsid w:val="00A555E1"/>
    <w:rsid w:val="00A55B1A"/>
    <w:rsid w:val="00A561CA"/>
    <w:rsid w:val="00A5776E"/>
    <w:rsid w:val="00A57975"/>
    <w:rsid w:val="00A57F55"/>
    <w:rsid w:val="00A62001"/>
    <w:rsid w:val="00A628E6"/>
    <w:rsid w:val="00A6298E"/>
    <w:rsid w:val="00A640A2"/>
    <w:rsid w:val="00A642DF"/>
    <w:rsid w:val="00A645A9"/>
    <w:rsid w:val="00A64930"/>
    <w:rsid w:val="00A64DEE"/>
    <w:rsid w:val="00A64FE9"/>
    <w:rsid w:val="00A6650D"/>
    <w:rsid w:val="00A667C4"/>
    <w:rsid w:val="00A66950"/>
    <w:rsid w:val="00A6795C"/>
    <w:rsid w:val="00A70345"/>
    <w:rsid w:val="00A73062"/>
    <w:rsid w:val="00A732D9"/>
    <w:rsid w:val="00A736A2"/>
    <w:rsid w:val="00A75040"/>
    <w:rsid w:val="00A7504D"/>
    <w:rsid w:val="00A758CC"/>
    <w:rsid w:val="00A75B2B"/>
    <w:rsid w:val="00A76627"/>
    <w:rsid w:val="00A76729"/>
    <w:rsid w:val="00A770CB"/>
    <w:rsid w:val="00A771DE"/>
    <w:rsid w:val="00A800D6"/>
    <w:rsid w:val="00A80AC1"/>
    <w:rsid w:val="00A80EC7"/>
    <w:rsid w:val="00A81642"/>
    <w:rsid w:val="00A823D5"/>
    <w:rsid w:val="00A8376D"/>
    <w:rsid w:val="00A85733"/>
    <w:rsid w:val="00A87735"/>
    <w:rsid w:val="00A87999"/>
    <w:rsid w:val="00A91BF8"/>
    <w:rsid w:val="00A920DF"/>
    <w:rsid w:val="00A93B0F"/>
    <w:rsid w:val="00A94981"/>
    <w:rsid w:val="00A94D94"/>
    <w:rsid w:val="00A95D70"/>
    <w:rsid w:val="00A963C0"/>
    <w:rsid w:val="00A96622"/>
    <w:rsid w:val="00A97117"/>
    <w:rsid w:val="00A97664"/>
    <w:rsid w:val="00A97C58"/>
    <w:rsid w:val="00A97D94"/>
    <w:rsid w:val="00AA011D"/>
    <w:rsid w:val="00AA050F"/>
    <w:rsid w:val="00AA09BF"/>
    <w:rsid w:val="00AA23D1"/>
    <w:rsid w:val="00AA2B12"/>
    <w:rsid w:val="00AA3472"/>
    <w:rsid w:val="00AA506A"/>
    <w:rsid w:val="00AA5CF6"/>
    <w:rsid w:val="00AA60F7"/>
    <w:rsid w:val="00AA62FC"/>
    <w:rsid w:val="00AA672A"/>
    <w:rsid w:val="00AA6F7E"/>
    <w:rsid w:val="00AA6FC5"/>
    <w:rsid w:val="00AB05C5"/>
    <w:rsid w:val="00AB099E"/>
    <w:rsid w:val="00AB0D44"/>
    <w:rsid w:val="00AB0DD8"/>
    <w:rsid w:val="00AB12D0"/>
    <w:rsid w:val="00AB1F4A"/>
    <w:rsid w:val="00AB3048"/>
    <w:rsid w:val="00AB32D3"/>
    <w:rsid w:val="00AB4E7B"/>
    <w:rsid w:val="00AB5606"/>
    <w:rsid w:val="00AB5DDB"/>
    <w:rsid w:val="00AB6CD1"/>
    <w:rsid w:val="00AB71CD"/>
    <w:rsid w:val="00AB7B78"/>
    <w:rsid w:val="00AC10BA"/>
    <w:rsid w:val="00AC2BE2"/>
    <w:rsid w:val="00AC3A38"/>
    <w:rsid w:val="00AC4D51"/>
    <w:rsid w:val="00AC501A"/>
    <w:rsid w:val="00AC5711"/>
    <w:rsid w:val="00AC59BB"/>
    <w:rsid w:val="00AC5ACE"/>
    <w:rsid w:val="00AC609D"/>
    <w:rsid w:val="00AC782E"/>
    <w:rsid w:val="00AD09E0"/>
    <w:rsid w:val="00AD1089"/>
    <w:rsid w:val="00AD126E"/>
    <w:rsid w:val="00AD2950"/>
    <w:rsid w:val="00AD46B0"/>
    <w:rsid w:val="00AD65F9"/>
    <w:rsid w:val="00AD6DC3"/>
    <w:rsid w:val="00AD7413"/>
    <w:rsid w:val="00AD7F54"/>
    <w:rsid w:val="00AE0308"/>
    <w:rsid w:val="00AE10DA"/>
    <w:rsid w:val="00AE2451"/>
    <w:rsid w:val="00AE5187"/>
    <w:rsid w:val="00AE7BC3"/>
    <w:rsid w:val="00AF15F2"/>
    <w:rsid w:val="00AF2613"/>
    <w:rsid w:val="00AF2D3F"/>
    <w:rsid w:val="00AF3FDE"/>
    <w:rsid w:val="00AF4197"/>
    <w:rsid w:val="00AF4F07"/>
    <w:rsid w:val="00AF5D42"/>
    <w:rsid w:val="00AF6241"/>
    <w:rsid w:val="00AF708A"/>
    <w:rsid w:val="00AF7555"/>
    <w:rsid w:val="00AF787F"/>
    <w:rsid w:val="00B0055E"/>
    <w:rsid w:val="00B00CB5"/>
    <w:rsid w:val="00B01ECD"/>
    <w:rsid w:val="00B0298C"/>
    <w:rsid w:val="00B036A3"/>
    <w:rsid w:val="00B03AF3"/>
    <w:rsid w:val="00B03DAC"/>
    <w:rsid w:val="00B045A6"/>
    <w:rsid w:val="00B047D5"/>
    <w:rsid w:val="00B050B5"/>
    <w:rsid w:val="00B07FA8"/>
    <w:rsid w:val="00B1218A"/>
    <w:rsid w:val="00B12352"/>
    <w:rsid w:val="00B12576"/>
    <w:rsid w:val="00B126B0"/>
    <w:rsid w:val="00B12EAD"/>
    <w:rsid w:val="00B14422"/>
    <w:rsid w:val="00B14578"/>
    <w:rsid w:val="00B145E6"/>
    <w:rsid w:val="00B156DF"/>
    <w:rsid w:val="00B1582E"/>
    <w:rsid w:val="00B163FC"/>
    <w:rsid w:val="00B17FD9"/>
    <w:rsid w:val="00B202FE"/>
    <w:rsid w:val="00B2036B"/>
    <w:rsid w:val="00B20B85"/>
    <w:rsid w:val="00B21094"/>
    <w:rsid w:val="00B21411"/>
    <w:rsid w:val="00B214CF"/>
    <w:rsid w:val="00B21D06"/>
    <w:rsid w:val="00B22087"/>
    <w:rsid w:val="00B22388"/>
    <w:rsid w:val="00B22583"/>
    <w:rsid w:val="00B2274E"/>
    <w:rsid w:val="00B23BCC"/>
    <w:rsid w:val="00B24AAE"/>
    <w:rsid w:val="00B25193"/>
    <w:rsid w:val="00B25CB0"/>
    <w:rsid w:val="00B26207"/>
    <w:rsid w:val="00B31246"/>
    <w:rsid w:val="00B317B2"/>
    <w:rsid w:val="00B333E9"/>
    <w:rsid w:val="00B3380F"/>
    <w:rsid w:val="00B33DB8"/>
    <w:rsid w:val="00B3444D"/>
    <w:rsid w:val="00B356FE"/>
    <w:rsid w:val="00B357A8"/>
    <w:rsid w:val="00B35B5B"/>
    <w:rsid w:val="00B37ADF"/>
    <w:rsid w:val="00B37D8A"/>
    <w:rsid w:val="00B42CCB"/>
    <w:rsid w:val="00B42E74"/>
    <w:rsid w:val="00B43071"/>
    <w:rsid w:val="00B455BB"/>
    <w:rsid w:val="00B45A55"/>
    <w:rsid w:val="00B467DC"/>
    <w:rsid w:val="00B47A8B"/>
    <w:rsid w:val="00B50F24"/>
    <w:rsid w:val="00B51BA0"/>
    <w:rsid w:val="00B52B1E"/>
    <w:rsid w:val="00B54F61"/>
    <w:rsid w:val="00B56111"/>
    <w:rsid w:val="00B56220"/>
    <w:rsid w:val="00B607B9"/>
    <w:rsid w:val="00B60ABB"/>
    <w:rsid w:val="00B60B60"/>
    <w:rsid w:val="00B618E8"/>
    <w:rsid w:val="00B6231E"/>
    <w:rsid w:val="00B626D0"/>
    <w:rsid w:val="00B630C6"/>
    <w:rsid w:val="00B642B1"/>
    <w:rsid w:val="00B64E2F"/>
    <w:rsid w:val="00B653B7"/>
    <w:rsid w:val="00B654B3"/>
    <w:rsid w:val="00B65725"/>
    <w:rsid w:val="00B65D09"/>
    <w:rsid w:val="00B665A4"/>
    <w:rsid w:val="00B668C0"/>
    <w:rsid w:val="00B66C4D"/>
    <w:rsid w:val="00B66F58"/>
    <w:rsid w:val="00B673D0"/>
    <w:rsid w:val="00B676EF"/>
    <w:rsid w:val="00B70631"/>
    <w:rsid w:val="00B75AFE"/>
    <w:rsid w:val="00B75E27"/>
    <w:rsid w:val="00B80877"/>
    <w:rsid w:val="00B81172"/>
    <w:rsid w:val="00B81256"/>
    <w:rsid w:val="00B82AA1"/>
    <w:rsid w:val="00B831E2"/>
    <w:rsid w:val="00B8397E"/>
    <w:rsid w:val="00B84C58"/>
    <w:rsid w:val="00B84C77"/>
    <w:rsid w:val="00B852CB"/>
    <w:rsid w:val="00B85436"/>
    <w:rsid w:val="00B85980"/>
    <w:rsid w:val="00B85CB0"/>
    <w:rsid w:val="00B86205"/>
    <w:rsid w:val="00B8677F"/>
    <w:rsid w:val="00B907E8"/>
    <w:rsid w:val="00B90ABC"/>
    <w:rsid w:val="00B916D7"/>
    <w:rsid w:val="00B92D5E"/>
    <w:rsid w:val="00B9372F"/>
    <w:rsid w:val="00B93E5C"/>
    <w:rsid w:val="00B943BE"/>
    <w:rsid w:val="00B95249"/>
    <w:rsid w:val="00B95FF2"/>
    <w:rsid w:val="00B96B2C"/>
    <w:rsid w:val="00B96EAB"/>
    <w:rsid w:val="00B97C62"/>
    <w:rsid w:val="00BA1886"/>
    <w:rsid w:val="00BA2018"/>
    <w:rsid w:val="00BA22C4"/>
    <w:rsid w:val="00BA23CE"/>
    <w:rsid w:val="00BA3B55"/>
    <w:rsid w:val="00BA50C0"/>
    <w:rsid w:val="00BA56EC"/>
    <w:rsid w:val="00BA6B39"/>
    <w:rsid w:val="00BB0554"/>
    <w:rsid w:val="00BB1D36"/>
    <w:rsid w:val="00BB333D"/>
    <w:rsid w:val="00BB3A17"/>
    <w:rsid w:val="00BB5D87"/>
    <w:rsid w:val="00BB6CF8"/>
    <w:rsid w:val="00BC0C31"/>
    <w:rsid w:val="00BC0E5F"/>
    <w:rsid w:val="00BC1037"/>
    <w:rsid w:val="00BC1933"/>
    <w:rsid w:val="00BC1FAB"/>
    <w:rsid w:val="00BC2617"/>
    <w:rsid w:val="00BC264C"/>
    <w:rsid w:val="00BC28D6"/>
    <w:rsid w:val="00BC2D16"/>
    <w:rsid w:val="00BC3878"/>
    <w:rsid w:val="00BC457D"/>
    <w:rsid w:val="00BC4E9E"/>
    <w:rsid w:val="00BC53A8"/>
    <w:rsid w:val="00BC57F7"/>
    <w:rsid w:val="00BC66B1"/>
    <w:rsid w:val="00BC66EF"/>
    <w:rsid w:val="00BD0CBD"/>
    <w:rsid w:val="00BD14A5"/>
    <w:rsid w:val="00BD159C"/>
    <w:rsid w:val="00BD1865"/>
    <w:rsid w:val="00BD1990"/>
    <w:rsid w:val="00BD1C20"/>
    <w:rsid w:val="00BD2733"/>
    <w:rsid w:val="00BD3046"/>
    <w:rsid w:val="00BD34D3"/>
    <w:rsid w:val="00BD369D"/>
    <w:rsid w:val="00BD4CF6"/>
    <w:rsid w:val="00BD4D67"/>
    <w:rsid w:val="00BD5B53"/>
    <w:rsid w:val="00BD6023"/>
    <w:rsid w:val="00BD7682"/>
    <w:rsid w:val="00BD7A55"/>
    <w:rsid w:val="00BE005D"/>
    <w:rsid w:val="00BE200B"/>
    <w:rsid w:val="00BE2623"/>
    <w:rsid w:val="00BE2784"/>
    <w:rsid w:val="00BE2BA2"/>
    <w:rsid w:val="00BE2F14"/>
    <w:rsid w:val="00BE380B"/>
    <w:rsid w:val="00BE3F31"/>
    <w:rsid w:val="00BE4610"/>
    <w:rsid w:val="00BE4BA2"/>
    <w:rsid w:val="00BE4FDC"/>
    <w:rsid w:val="00BE5D3E"/>
    <w:rsid w:val="00BE60CD"/>
    <w:rsid w:val="00BF0F1B"/>
    <w:rsid w:val="00BF112E"/>
    <w:rsid w:val="00BF19CA"/>
    <w:rsid w:val="00BF2155"/>
    <w:rsid w:val="00BF26C3"/>
    <w:rsid w:val="00BF27EE"/>
    <w:rsid w:val="00BF2929"/>
    <w:rsid w:val="00BF3426"/>
    <w:rsid w:val="00BF4091"/>
    <w:rsid w:val="00BF4ECB"/>
    <w:rsid w:val="00BF58C5"/>
    <w:rsid w:val="00BF5D71"/>
    <w:rsid w:val="00BF683A"/>
    <w:rsid w:val="00BF68AA"/>
    <w:rsid w:val="00BF720A"/>
    <w:rsid w:val="00BF75D5"/>
    <w:rsid w:val="00BF792A"/>
    <w:rsid w:val="00C00190"/>
    <w:rsid w:val="00C005D5"/>
    <w:rsid w:val="00C00DF7"/>
    <w:rsid w:val="00C014DD"/>
    <w:rsid w:val="00C036D6"/>
    <w:rsid w:val="00C044FF"/>
    <w:rsid w:val="00C061BC"/>
    <w:rsid w:val="00C063C0"/>
    <w:rsid w:val="00C064DE"/>
    <w:rsid w:val="00C065C5"/>
    <w:rsid w:val="00C0680E"/>
    <w:rsid w:val="00C10535"/>
    <w:rsid w:val="00C11415"/>
    <w:rsid w:val="00C11FB6"/>
    <w:rsid w:val="00C13332"/>
    <w:rsid w:val="00C14326"/>
    <w:rsid w:val="00C15497"/>
    <w:rsid w:val="00C1643A"/>
    <w:rsid w:val="00C16762"/>
    <w:rsid w:val="00C16B27"/>
    <w:rsid w:val="00C208D2"/>
    <w:rsid w:val="00C20FF5"/>
    <w:rsid w:val="00C213C9"/>
    <w:rsid w:val="00C21744"/>
    <w:rsid w:val="00C218F4"/>
    <w:rsid w:val="00C2436A"/>
    <w:rsid w:val="00C24F55"/>
    <w:rsid w:val="00C25C83"/>
    <w:rsid w:val="00C27158"/>
    <w:rsid w:val="00C31DE8"/>
    <w:rsid w:val="00C32A4A"/>
    <w:rsid w:val="00C32BBF"/>
    <w:rsid w:val="00C32F58"/>
    <w:rsid w:val="00C339B9"/>
    <w:rsid w:val="00C33D90"/>
    <w:rsid w:val="00C3438E"/>
    <w:rsid w:val="00C34C2F"/>
    <w:rsid w:val="00C34F35"/>
    <w:rsid w:val="00C356BE"/>
    <w:rsid w:val="00C3593B"/>
    <w:rsid w:val="00C35A94"/>
    <w:rsid w:val="00C36350"/>
    <w:rsid w:val="00C36C29"/>
    <w:rsid w:val="00C377CC"/>
    <w:rsid w:val="00C378A9"/>
    <w:rsid w:val="00C40689"/>
    <w:rsid w:val="00C40FF8"/>
    <w:rsid w:val="00C41774"/>
    <w:rsid w:val="00C41CA4"/>
    <w:rsid w:val="00C42F1A"/>
    <w:rsid w:val="00C4409C"/>
    <w:rsid w:val="00C46DBB"/>
    <w:rsid w:val="00C47342"/>
    <w:rsid w:val="00C478AD"/>
    <w:rsid w:val="00C47C76"/>
    <w:rsid w:val="00C505CE"/>
    <w:rsid w:val="00C51188"/>
    <w:rsid w:val="00C515FD"/>
    <w:rsid w:val="00C51B35"/>
    <w:rsid w:val="00C52648"/>
    <w:rsid w:val="00C52BAE"/>
    <w:rsid w:val="00C53416"/>
    <w:rsid w:val="00C53854"/>
    <w:rsid w:val="00C549CE"/>
    <w:rsid w:val="00C55207"/>
    <w:rsid w:val="00C560D2"/>
    <w:rsid w:val="00C56729"/>
    <w:rsid w:val="00C571FF"/>
    <w:rsid w:val="00C574D3"/>
    <w:rsid w:val="00C57861"/>
    <w:rsid w:val="00C57D1A"/>
    <w:rsid w:val="00C610CB"/>
    <w:rsid w:val="00C61CDD"/>
    <w:rsid w:val="00C62B7C"/>
    <w:rsid w:val="00C62E9E"/>
    <w:rsid w:val="00C63756"/>
    <w:rsid w:val="00C6382F"/>
    <w:rsid w:val="00C65232"/>
    <w:rsid w:val="00C660B3"/>
    <w:rsid w:val="00C675FF"/>
    <w:rsid w:val="00C67DBC"/>
    <w:rsid w:val="00C706E0"/>
    <w:rsid w:val="00C7079A"/>
    <w:rsid w:val="00C710EF"/>
    <w:rsid w:val="00C71607"/>
    <w:rsid w:val="00C71FF1"/>
    <w:rsid w:val="00C727D1"/>
    <w:rsid w:val="00C738CC"/>
    <w:rsid w:val="00C73EA9"/>
    <w:rsid w:val="00C73FFC"/>
    <w:rsid w:val="00C74E09"/>
    <w:rsid w:val="00C7715E"/>
    <w:rsid w:val="00C80B25"/>
    <w:rsid w:val="00C820B6"/>
    <w:rsid w:val="00C822C1"/>
    <w:rsid w:val="00C82E86"/>
    <w:rsid w:val="00C8385C"/>
    <w:rsid w:val="00C83941"/>
    <w:rsid w:val="00C84F6F"/>
    <w:rsid w:val="00C85087"/>
    <w:rsid w:val="00C85997"/>
    <w:rsid w:val="00C864A3"/>
    <w:rsid w:val="00C870CC"/>
    <w:rsid w:val="00C9085F"/>
    <w:rsid w:val="00C9252F"/>
    <w:rsid w:val="00C927E6"/>
    <w:rsid w:val="00C947C3"/>
    <w:rsid w:val="00C94F98"/>
    <w:rsid w:val="00C95333"/>
    <w:rsid w:val="00C97215"/>
    <w:rsid w:val="00C97B61"/>
    <w:rsid w:val="00CA0AFD"/>
    <w:rsid w:val="00CA13BC"/>
    <w:rsid w:val="00CA1FFA"/>
    <w:rsid w:val="00CA26E0"/>
    <w:rsid w:val="00CA2B12"/>
    <w:rsid w:val="00CA3498"/>
    <w:rsid w:val="00CA37AB"/>
    <w:rsid w:val="00CA444D"/>
    <w:rsid w:val="00CA49BE"/>
    <w:rsid w:val="00CA4E87"/>
    <w:rsid w:val="00CA55C7"/>
    <w:rsid w:val="00CA63E5"/>
    <w:rsid w:val="00CA6E36"/>
    <w:rsid w:val="00CA723D"/>
    <w:rsid w:val="00CA7905"/>
    <w:rsid w:val="00CB0818"/>
    <w:rsid w:val="00CB0A2C"/>
    <w:rsid w:val="00CB0AF7"/>
    <w:rsid w:val="00CB11E5"/>
    <w:rsid w:val="00CB12A1"/>
    <w:rsid w:val="00CB1FAC"/>
    <w:rsid w:val="00CB4B15"/>
    <w:rsid w:val="00CB57F6"/>
    <w:rsid w:val="00CB68EE"/>
    <w:rsid w:val="00CB7F48"/>
    <w:rsid w:val="00CC1067"/>
    <w:rsid w:val="00CC141E"/>
    <w:rsid w:val="00CC2692"/>
    <w:rsid w:val="00CC4102"/>
    <w:rsid w:val="00CC4419"/>
    <w:rsid w:val="00CC50A1"/>
    <w:rsid w:val="00CC618D"/>
    <w:rsid w:val="00CC6FBD"/>
    <w:rsid w:val="00CD15BF"/>
    <w:rsid w:val="00CD16AE"/>
    <w:rsid w:val="00CD1DEB"/>
    <w:rsid w:val="00CD7CD8"/>
    <w:rsid w:val="00CD7EC2"/>
    <w:rsid w:val="00CE0D9E"/>
    <w:rsid w:val="00CE12C4"/>
    <w:rsid w:val="00CE3A73"/>
    <w:rsid w:val="00CE3E06"/>
    <w:rsid w:val="00CE4679"/>
    <w:rsid w:val="00CE48B2"/>
    <w:rsid w:val="00CE4CFC"/>
    <w:rsid w:val="00CE4F4C"/>
    <w:rsid w:val="00CE67FB"/>
    <w:rsid w:val="00CE6851"/>
    <w:rsid w:val="00CE7C09"/>
    <w:rsid w:val="00CF16E2"/>
    <w:rsid w:val="00CF1911"/>
    <w:rsid w:val="00CF2E4F"/>
    <w:rsid w:val="00CF4C23"/>
    <w:rsid w:val="00CF65DA"/>
    <w:rsid w:val="00CF6E4D"/>
    <w:rsid w:val="00CF7A46"/>
    <w:rsid w:val="00D000EE"/>
    <w:rsid w:val="00D00AD9"/>
    <w:rsid w:val="00D02DAA"/>
    <w:rsid w:val="00D0304C"/>
    <w:rsid w:val="00D0338C"/>
    <w:rsid w:val="00D043C5"/>
    <w:rsid w:val="00D04DF2"/>
    <w:rsid w:val="00D054A9"/>
    <w:rsid w:val="00D06348"/>
    <w:rsid w:val="00D06A2E"/>
    <w:rsid w:val="00D0749E"/>
    <w:rsid w:val="00D11983"/>
    <w:rsid w:val="00D12A02"/>
    <w:rsid w:val="00D13D13"/>
    <w:rsid w:val="00D13F3C"/>
    <w:rsid w:val="00D154DE"/>
    <w:rsid w:val="00D1580A"/>
    <w:rsid w:val="00D162CE"/>
    <w:rsid w:val="00D20818"/>
    <w:rsid w:val="00D211EB"/>
    <w:rsid w:val="00D2158A"/>
    <w:rsid w:val="00D21984"/>
    <w:rsid w:val="00D21B2D"/>
    <w:rsid w:val="00D220DE"/>
    <w:rsid w:val="00D226E3"/>
    <w:rsid w:val="00D22DF2"/>
    <w:rsid w:val="00D238AB"/>
    <w:rsid w:val="00D23C8A"/>
    <w:rsid w:val="00D23D84"/>
    <w:rsid w:val="00D24060"/>
    <w:rsid w:val="00D2412A"/>
    <w:rsid w:val="00D27BA9"/>
    <w:rsid w:val="00D27F2B"/>
    <w:rsid w:val="00D302D4"/>
    <w:rsid w:val="00D316A7"/>
    <w:rsid w:val="00D3219D"/>
    <w:rsid w:val="00D32BCF"/>
    <w:rsid w:val="00D35B22"/>
    <w:rsid w:val="00D36A1A"/>
    <w:rsid w:val="00D37674"/>
    <w:rsid w:val="00D4026E"/>
    <w:rsid w:val="00D42C82"/>
    <w:rsid w:val="00D42DB0"/>
    <w:rsid w:val="00D446E1"/>
    <w:rsid w:val="00D458AD"/>
    <w:rsid w:val="00D45DEE"/>
    <w:rsid w:val="00D4620A"/>
    <w:rsid w:val="00D46BA2"/>
    <w:rsid w:val="00D50A5D"/>
    <w:rsid w:val="00D5127E"/>
    <w:rsid w:val="00D52599"/>
    <w:rsid w:val="00D52C6C"/>
    <w:rsid w:val="00D53B2F"/>
    <w:rsid w:val="00D548A2"/>
    <w:rsid w:val="00D576C3"/>
    <w:rsid w:val="00D57C85"/>
    <w:rsid w:val="00D61BBD"/>
    <w:rsid w:val="00D637C6"/>
    <w:rsid w:val="00D64F85"/>
    <w:rsid w:val="00D652C4"/>
    <w:rsid w:val="00D655EF"/>
    <w:rsid w:val="00D6618C"/>
    <w:rsid w:val="00D6620E"/>
    <w:rsid w:val="00D671CD"/>
    <w:rsid w:val="00D672F2"/>
    <w:rsid w:val="00D67602"/>
    <w:rsid w:val="00D70921"/>
    <w:rsid w:val="00D72CFE"/>
    <w:rsid w:val="00D7341B"/>
    <w:rsid w:val="00D73711"/>
    <w:rsid w:val="00D746E2"/>
    <w:rsid w:val="00D747C6"/>
    <w:rsid w:val="00D75474"/>
    <w:rsid w:val="00D7598D"/>
    <w:rsid w:val="00D765B6"/>
    <w:rsid w:val="00D768F6"/>
    <w:rsid w:val="00D77269"/>
    <w:rsid w:val="00D7754D"/>
    <w:rsid w:val="00D775C6"/>
    <w:rsid w:val="00D80113"/>
    <w:rsid w:val="00D816C4"/>
    <w:rsid w:val="00D81A52"/>
    <w:rsid w:val="00D81C1D"/>
    <w:rsid w:val="00D821C3"/>
    <w:rsid w:val="00D838CF"/>
    <w:rsid w:val="00D84AED"/>
    <w:rsid w:val="00D84BFE"/>
    <w:rsid w:val="00D8647D"/>
    <w:rsid w:val="00D9088A"/>
    <w:rsid w:val="00D91673"/>
    <w:rsid w:val="00D921C7"/>
    <w:rsid w:val="00D92D03"/>
    <w:rsid w:val="00D93480"/>
    <w:rsid w:val="00D9381E"/>
    <w:rsid w:val="00D93E90"/>
    <w:rsid w:val="00D94966"/>
    <w:rsid w:val="00D94CA5"/>
    <w:rsid w:val="00D96FC2"/>
    <w:rsid w:val="00D9791F"/>
    <w:rsid w:val="00D97EC6"/>
    <w:rsid w:val="00DA1F87"/>
    <w:rsid w:val="00DA4E04"/>
    <w:rsid w:val="00DA504C"/>
    <w:rsid w:val="00DA5304"/>
    <w:rsid w:val="00DA5A03"/>
    <w:rsid w:val="00DA63A7"/>
    <w:rsid w:val="00DA63BC"/>
    <w:rsid w:val="00DA6734"/>
    <w:rsid w:val="00DA673B"/>
    <w:rsid w:val="00DB0898"/>
    <w:rsid w:val="00DB08FD"/>
    <w:rsid w:val="00DB0D31"/>
    <w:rsid w:val="00DB100D"/>
    <w:rsid w:val="00DB18E4"/>
    <w:rsid w:val="00DB1A6C"/>
    <w:rsid w:val="00DB2F1D"/>
    <w:rsid w:val="00DB32C6"/>
    <w:rsid w:val="00DB3F9D"/>
    <w:rsid w:val="00DB400A"/>
    <w:rsid w:val="00DB4511"/>
    <w:rsid w:val="00DB4D26"/>
    <w:rsid w:val="00DB4D81"/>
    <w:rsid w:val="00DB6A4C"/>
    <w:rsid w:val="00DB6DCA"/>
    <w:rsid w:val="00DC0DAE"/>
    <w:rsid w:val="00DC16A1"/>
    <w:rsid w:val="00DC1C9E"/>
    <w:rsid w:val="00DC20C2"/>
    <w:rsid w:val="00DC312F"/>
    <w:rsid w:val="00DC323F"/>
    <w:rsid w:val="00DC4646"/>
    <w:rsid w:val="00DC582D"/>
    <w:rsid w:val="00DC633E"/>
    <w:rsid w:val="00DD06FE"/>
    <w:rsid w:val="00DD072B"/>
    <w:rsid w:val="00DD1021"/>
    <w:rsid w:val="00DD18FD"/>
    <w:rsid w:val="00DD62F1"/>
    <w:rsid w:val="00DD7306"/>
    <w:rsid w:val="00DD7C1E"/>
    <w:rsid w:val="00DE0E82"/>
    <w:rsid w:val="00DE12FF"/>
    <w:rsid w:val="00DE2C45"/>
    <w:rsid w:val="00DE3071"/>
    <w:rsid w:val="00DE3B30"/>
    <w:rsid w:val="00DE3D6D"/>
    <w:rsid w:val="00DE4CD8"/>
    <w:rsid w:val="00DE5E1D"/>
    <w:rsid w:val="00DE7290"/>
    <w:rsid w:val="00DE7D53"/>
    <w:rsid w:val="00DF010D"/>
    <w:rsid w:val="00DF0F88"/>
    <w:rsid w:val="00DF1900"/>
    <w:rsid w:val="00DF305C"/>
    <w:rsid w:val="00DF3A48"/>
    <w:rsid w:val="00DF591C"/>
    <w:rsid w:val="00DF5EA9"/>
    <w:rsid w:val="00DF5FB4"/>
    <w:rsid w:val="00DF6A60"/>
    <w:rsid w:val="00DF70F9"/>
    <w:rsid w:val="00DF71A9"/>
    <w:rsid w:val="00DF765B"/>
    <w:rsid w:val="00DF7A83"/>
    <w:rsid w:val="00E00427"/>
    <w:rsid w:val="00E0071E"/>
    <w:rsid w:val="00E01D95"/>
    <w:rsid w:val="00E0303A"/>
    <w:rsid w:val="00E038B2"/>
    <w:rsid w:val="00E03CE3"/>
    <w:rsid w:val="00E03E36"/>
    <w:rsid w:val="00E04C79"/>
    <w:rsid w:val="00E06C87"/>
    <w:rsid w:val="00E1109A"/>
    <w:rsid w:val="00E11FE7"/>
    <w:rsid w:val="00E12A96"/>
    <w:rsid w:val="00E1353D"/>
    <w:rsid w:val="00E13C8D"/>
    <w:rsid w:val="00E13F0D"/>
    <w:rsid w:val="00E14CCE"/>
    <w:rsid w:val="00E1772E"/>
    <w:rsid w:val="00E17859"/>
    <w:rsid w:val="00E17E05"/>
    <w:rsid w:val="00E202F5"/>
    <w:rsid w:val="00E20E56"/>
    <w:rsid w:val="00E21BD0"/>
    <w:rsid w:val="00E22BF4"/>
    <w:rsid w:val="00E22DCD"/>
    <w:rsid w:val="00E25F04"/>
    <w:rsid w:val="00E25F32"/>
    <w:rsid w:val="00E261E3"/>
    <w:rsid w:val="00E264B9"/>
    <w:rsid w:val="00E273EF"/>
    <w:rsid w:val="00E30648"/>
    <w:rsid w:val="00E30EBE"/>
    <w:rsid w:val="00E311DC"/>
    <w:rsid w:val="00E34989"/>
    <w:rsid w:val="00E36CD3"/>
    <w:rsid w:val="00E4043E"/>
    <w:rsid w:val="00E41AA3"/>
    <w:rsid w:val="00E42D86"/>
    <w:rsid w:val="00E4339F"/>
    <w:rsid w:val="00E437C4"/>
    <w:rsid w:val="00E44479"/>
    <w:rsid w:val="00E44BAF"/>
    <w:rsid w:val="00E46E2C"/>
    <w:rsid w:val="00E47CD3"/>
    <w:rsid w:val="00E47FC3"/>
    <w:rsid w:val="00E501A7"/>
    <w:rsid w:val="00E508B5"/>
    <w:rsid w:val="00E50D7D"/>
    <w:rsid w:val="00E51340"/>
    <w:rsid w:val="00E522D2"/>
    <w:rsid w:val="00E52998"/>
    <w:rsid w:val="00E52C35"/>
    <w:rsid w:val="00E52DD1"/>
    <w:rsid w:val="00E52EC8"/>
    <w:rsid w:val="00E543D3"/>
    <w:rsid w:val="00E566FC"/>
    <w:rsid w:val="00E569DF"/>
    <w:rsid w:val="00E570E7"/>
    <w:rsid w:val="00E60A12"/>
    <w:rsid w:val="00E60BB7"/>
    <w:rsid w:val="00E6154F"/>
    <w:rsid w:val="00E61A32"/>
    <w:rsid w:val="00E61C40"/>
    <w:rsid w:val="00E6200C"/>
    <w:rsid w:val="00E62440"/>
    <w:rsid w:val="00E6255F"/>
    <w:rsid w:val="00E627BC"/>
    <w:rsid w:val="00E62941"/>
    <w:rsid w:val="00E62E96"/>
    <w:rsid w:val="00E63720"/>
    <w:rsid w:val="00E63F90"/>
    <w:rsid w:val="00E644DE"/>
    <w:rsid w:val="00E66E2A"/>
    <w:rsid w:val="00E7039D"/>
    <w:rsid w:val="00E70899"/>
    <w:rsid w:val="00E70C10"/>
    <w:rsid w:val="00E70C48"/>
    <w:rsid w:val="00E72EF4"/>
    <w:rsid w:val="00E7312E"/>
    <w:rsid w:val="00E73AF4"/>
    <w:rsid w:val="00E74258"/>
    <w:rsid w:val="00E77C5F"/>
    <w:rsid w:val="00E77E18"/>
    <w:rsid w:val="00E80C2A"/>
    <w:rsid w:val="00E80D16"/>
    <w:rsid w:val="00E8179B"/>
    <w:rsid w:val="00E818F0"/>
    <w:rsid w:val="00E822F1"/>
    <w:rsid w:val="00E82363"/>
    <w:rsid w:val="00E8248B"/>
    <w:rsid w:val="00E827C7"/>
    <w:rsid w:val="00E82DAD"/>
    <w:rsid w:val="00E82DF2"/>
    <w:rsid w:val="00E85379"/>
    <w:rsid w:val="00E86405"/>
    <w:rsid w:val="00E921A4"/>
    <w:rsid w:val="00E92541"/>
    <w:rsid w:val="00E93BAC"/>
    <w:rsid w:val="00E94120"/>
    <w:rsid w:val="00E94EB9"/>
    <w:rsid w:val="00E956C5"/>
    <w:rsid w:val="00E95FCF"/>
    <w:rsid w:val="00E967D1"/>
    <w:rsid w:val="00E9795B"/>
    <w:rsid w:val="00E97F9B"/>
    <w:rsid w:val="00E97FED"/>
    <w:rsid w:val="00EA093E"/>
    <w:rsid w:val="00EA0A19"/>
    <w:rsid w:val="00EA0FF7"/>
    <w:rsid w:val="00EA1554"/>
    <w:rsid w:val="00EA2298"/>
    <w:rsid w:val="00EA4443"/>
    <w:rsid w:val="00EA5016"/>
    <w:rsid w:val="00EA5B30"/>
    <w:rsid w:val="00EA5C60"/>
    <w:rsid w:val="00EA72F5"/>
    <w:rsid w:val="00EA751E"/>
    <w:rsid w:val="00EA7FF3"/>
    <w:rsid w:val="00EB0F4A"/>
    <w:rsid w:val="00EB2E2D"/>
    <w:rsid w:val="00EB36FB"/>
    <w:rsid w:val="00EB388A"/>
    <w:rsid w:val="00EB38B0"/>
    <w:rsid w:val="00EB4F33"/>
    <w:rsid w:val="00EB4FA8"/>
    <w:rsid w:val="00EB6A8A"/>
    <w:rsid w:val="00EB7DEF"/>
    <w:rsid w:val="00EC039B"/>
    <w:rsid w:val="00EC0EA5"/>
    <w:rsid w:val="00EC1DD0"/>
    <w:rsid w:val="00EC1F33"/>
    <w:rsid w:val="00EC2C22"/>
    <w:rsid w:val="00EC322B"/>
    <w:rsid w:val="00EC3408"/>
    <w:rsid w:val="00EC3FEE"/>
    <w:rsid w:val="00EC4896"/>
    <w:rsid w:val="00EC4ACE"/>
    <w:rsid w:val="00EC4F23"/>
    <w:rsid w:val="00EC618B"/>
    <w:rsid w:val="00ED025B"/>
    <w:rsid w:val="00ED2331"/>
    <w:rsid w:val="00ED2731"/>
    <w:rsid w:val="00ED3580"/>
    <w:rsid w:val="00ED3DBC"/>
    <w:rsid w:val="00ED4C08"/>
    <w:rsid w:val="00ED7536"/>
    <w:rsid w:val="00ED7EB7"/>
    <w:rsid w:val="00EE18D7"/>
    <w:rsid w:val="00EE2488"/>
    <w:rsid w:val="00EE38A1"/>
    <w:rsid w:val="00EE5936"/>
    <w:rsid w:val="00EE72C0"/>
    <w:rsid w:val="00EE7894"/>
    <w:rsid w:val="00EE7F95"/>
    <w:rsid w:val="00EF0A2F"/>
    <w:rsid w:val="00EF0CEF"/>
    <w:rsid w:val="00EF152E"/>
    <w:rsid w:val="00EF1F4D"/>
    <w:rsid w:val="00EF1FDB"/>
    <w:rsid w:val="00EF24BA"/>
    <w:rsid w:val="00EF4354"/>
    <w:rsid w:val="00EF4E03"/>
    <w:rsid w:val="00EF5097"/>
    <w:rsid w:val="00EF60CD"/>
    <w:rsid w:val="00EF72A7"/>
    <w:rsid w:val="00F00263"/>
    <w:rsid w:val="00F00400"/>
    <w:rsid w:val="00F006F1"/>
    <w:rsid w:val="00F03131"/>
    <w:rsid w:val="00F03526"/>
    <w:rsid w:val="00F03AF5"/>
    <w:rsid w:val="00F044AB"/>
    <w:rsid w:val="00F04ADE"/>
    <w:rsid w:val="00F04EF3"/>
    <w:rsid w:val="00F05883"/>
    <w:rsid w:val="00F05D7D"/>
    <w:rsid w:val="00F06069"/>
    <w:rsid w:val="00F060D2"/>
    <w:rsid w:val="00F06A8F"/>
    <w:rsid w:val="00F06B4A"/>
    <w:rsid w:val="00F06FD7"/>
    <w:rsid w:val="00F0780B"/>
    <w:rsid w:val="00F07ABB"/>
    <w:rsid w:val="00F07F06"/>
    <w:rsid w:val="00F07F50"/>
    <w:rsid w:val="00F10810"/>
    <w:rsid w:val="00F10BC1"/>
    <w:rsid w:val="00F10BF8"/>
    <w:rsid w:val="00F11224"/>
    <w:rsid w:val="00F115BB"/>
    <w:rsid w:val="00F11AA9"/>
    <w:rsid w:val="00F121DD"/>
    <w:rsid w:val="00F14EF4"/>
    <w:rsid w:val="00F1610E"/>
    <w:rsid w:val="00F162CD"/>
    <w:rsid w:val="00F16CA4"/>
    <w:rsid w:val="00F17935"/>
    <w:rsid w:val="00F208D3"/>
    <w:rsid w:val="00F209F1"/>
    <w:rsid w:val="00F20CC9"/>
    <w:rsid w:val="00F2211A"/>
    <w:rsid w:val="00F22870"/>
    <w:rsid w:val="00F24192"/>
    <w:rsid w:val="00F248DB"/>
    <w:rsid w:val="00F25008"/>
    <w:rsid w:val="00F25F56"/>
    <w:rsid w:val="00F25FFC"/>
    <w:rsid w:val="00F26896"/>
    <w:rsid w:val="00F26C9C"/>
    <w:rsid w:val="00F30AE5"/>
    <w:rsid w:val="00F31F2E"/>
    <w:rsid w:val="00F31F6F"/>
    <w:rsid w:val="00F3207D"/>
    <w:rsid w:val="00F325AD"/>
    <w:rsid w:val="00F329CC"/>
    <w:rsid w:val="00F34821"/>
    <w:rsid w:val="00F34E6B"/>
    <w:rsid w:val="00F3695C"/>
    <w:rsid w:val="00F36B05"/>
    <w:rsid w:val="00F36DC6"/>
    <w:rsid w:val="00F37814"/>
    <w:rsid w:val="00F378AE"/>
    <w:rsid w:val="00F410CE"/>
    <w:rsid w:val="00F42AE1"/>
    <w:rsid w:val="00F46605"/>
    <w:rsid w:val="00F4785C"/>
    <w:rsid w:val="00F47C9D"/>
    <w:rsid w:val="00F515AD"/>
    <w:rsid w:val="00F5261E"/>
    <w:rsid w:val="00F534BD"/>
    <w:rsid w:val="00F53F6A"/>
    <w:rsid w:val="00F54367"/>
    <w:rsid w:val="00F549B4"/>
    <w:rsid w:val="00F549C8"/>
    <w:rsid w:val="00F554E6"/>
    <w:rsid w:val="00F56547"/>
    <w:rsid w:val="00F56E72"/>
    <w:rsid w:val="00F573DA"/>
    <w:rsid w:val="00F57D9C"/>
    <w:rsid w:val="00F619D4"/>
    <w:rsid w:val="00F61A5C"/>
    <w:rsid w:val="00F61A60"/>
    <w:rsid w:val="00F61B71"/>
    <w:rsid w:val="00F63F57"/>
    <w:rsid w:val="00F64E2B"/>
    <w:rsid w:val="00F65091"/>
    <w:rsid w:val="00F65137"/>
    <w:rsid w:val="00F65957"/>
    <w:rsid w:val="00F65E12"/>
    <w:rsid w:val="00F66357"/>
    <w:rsid w:val="00F67527"/>
    <w:rsid w:val="00F67695"/>
    <w:rsid w:val="00F67E1D"/>
    <w:rsid w:val="00F72481"/>
    <w:rsid w:val="00F72B79"/>
    <w:rsid w:val="00F72E0A"/>
    <w:rsid w:val="00F73B8C"/>
    <w:rsid w:val="00F742E4"/>
    <w:rsid w:val="00F75394"/>
    <w:rsid w:val="00F75573"/>
    <w:rsid w:val="00F75792"/>
    <w:rsid w:val="00F76339"/>
    <w:rsid w:val="00F76372"/>
    <w:rsid w:val="00F767FE"/>
    <w:rsid w:val="00F76BC6"/>
    <w:rsid w:val="00F77544"/>
    <w:rsid w:val="00F77AC3"/>
    <w:rsid w:val="00F77BAD"/>
    <w:rsid w:val="00F81D34"/>
    <w:rsid w:val="00F82219"/>
    <w:rsid w:val="00F8239D"/>
    <w:rsid w:val="00F8241F"/>
    <w:rsid w:val="00F82458"/>
    <w:rsid w:val="00F83508"/>
    <w:rsid w:val="00F84040"/>
    <w:rsid w:val="00F84842"/>
    <w:rsid w:val="00F84B97"/>
    <w:rsid w:val="00F855F6"/>
    <w:rsid w:val="00F86514"/>
    <w:rsid w:val="00F86E08"/>
    <w:rsid w:val="00F87D46"/>
    <w:rsid w:val="00F91B12"/>
    <w:rsid w:val="00F91B4F"/>
    <w:rsid w:val="00F950F6"/>
    <w:rsid w:val="00F95431"/>
    <w:rsid w:val="00F9557C"/>
    <w:rsid w:val="00F95E67"/>
    <w:rsid w:val="00F96247"/>
    <w:rsid w:val="00FA05EE"/>
    <w:rsid w:val="00FA09F6"/>
    <w:rsid w:val="00FA0C76"/>
    <w:rsid w:val="00FA279A"/>
    <w:rsid w:val="00FA2957"/>
    <w:rsid w:val="00FA2B47"/>
    <w:rsid w:val="00FA59EA"/>
    <w:rsid w:val="00FA5EE3"/>
    <w:rsid w:val="00FA7404"/>
    <w:rsid w:val="00FA749A"/>
    <w:rsid w:val="00FA7A55"/>
    <w:rsid w:val="00FA7ED8"/>
    <w:rsid w:val="00FB2687"/>
    <w:rsid w:val="00FB27C7"/>
    <w:rsid w:val="00FB3BD9"/>
    <w:rsid w:val="00FB467C"/>
    <w:rsid w:val="00FB4B59"/>
    <w:rsid w:val="00FB55CA"/>
    <w:rsid w:val="00FB5DCE"/>
    <w:rsid w:val="00FB6DDE"/>
    <w:rsid w:val="00FB6FA1"/>
    <w:rsid w:val="00FB7180"/>
    <w:rsid w:val="00FB766D"/>
    <w:rsid w:val="00FC060F"/>
    <w:rsid w:val="00FC0F1D"/>
    <w:rsid w:val="00FC1BA1"/>
    <w:rsid w:val="00FC2ABD"/>
    <w:rsid w:val="00FC382F"/>
    <w:rsid w:val="00FC3A60"/>
    <w:rsid w:val="00FC458C"/>
    <w:rsid w:val="00FC659D"/>
    <w:rsid w:val="00FD123B"/>
    <w:rsid w:val="00FD49DA"/>
    <w:rsid w:val="00FE1A3A"/>
    <w:rsid w:val="00FE35A6"/>
    <w:rsid w:val="00FE3F50"/>
    <w:rsid w:val="00FE6BDE"/>
    <w:rsid w:val="00FE743D"/>
    <w:rsid w:val="00FE752A"/>
    <w:rsid w:val="00FE75A3"/>
    <w:rsid w:val="00FF1050"/>
    <w:rsid w:val="00FF1058"/>
    <w:rsid w:val="00FF1887"/>
    <w:rsid w:val="00FF1CDF"/>
    <w:rsid w:val="00FF3DF6"/>
    <w:rsid w:val="00FF41CD"/>
    <w:rsid w:val="00FF6DDA"/>
    <w:rsid w:val="00FF7477"/>
    <w:rsid w:val="00FF7E7F"/>
    <w:rsid w:val="0204A9B3"/>
    <w:rsid w:val="03B56CB9"/>
    <w:rsid w:val="04F00A96"/>
    <w:rsid w:val="057BB1FA"/>
    <w:rsid w:val="0742EDBF"/>
    <w:rsid w:val="08153979"/>
    <w:rsid w:val="0946EEA4"/>
    <w:rsid w:val="0BB388DF"/>
    <w:rsid w:val="0BF1E6AE"/>
    <w:rsid w:val="0C7B96BD"/>
    <w:rsid w:val="0E3A9364"/>
    <w:rsid w:val="109149C9"/>
    <w:rsid w:val="11B89425"/>
    <w:rsid w:val="124C1000"/>
    <w:rsid w:val="153AB0D6"/>
    <w:rsid w:val="159DFAA7"/>
    <w:rsid w:val="1B245226"/>
    <w:rsid w:val="209AD806"/>
    <w:rsid w:val="21150A08"/>
    <w:rsid w:val="215A6187"/>
    <w:rsid w:val="2405B42E"/>
    <w:rsid w:val="24B31FF8"/>
    <w:rsid w:val="264C9373"/>
    <w:rsid w:val="26DDB823"/>
    <w:rsid w:val="27C2520F"/>
    <w:rsid w:val="2886AAA9"/>
    <w:rsid w:val="299C28F3"/>
    <w:rsid w:val="2BFB399B"/>
    <w:rsid w:val="30B1DB82"/>
    <w:rsid w:val="366F52C8"/>
    <w:rsid w:val="3674D088"/>
    <w:rsid w:val="3DA5CDB2"/>
    <w:rsid w:val="3EEC8FAC"/>
    <w:rsid w:val="3FD84271"/>
    <w:rsid w:val="40792B65"/>
    <w:rsid w:val="474F9202"/>
    <w:rsid w:val="4965C961"/>
    <w:rsid w:val="4A03A0E6"/>
    <w:rsid w:val="4B146816"/>
    <w:rsid w:val="4B6E2696"/>
    <w:rsid w:val="4FC857E8"/>
    <w:rsid w:val="513B3BF5"/>
    <w:rsid w:val="54CB78B7"/>
    <w:rsid w:val="55296234"/>
    <w:rsid w:val="57171773"/>
    <w:rsid w:val="571B9B60"/>
    <w:rsid w:val="581AA75C"/>
    <w:rsid w:val="5D28A972"/>
    <w:rsid w:val="5D55697C"/>
    <w:rsid w:val="60EAA0F9"/>
    <w:rsid w:val="62F7FCE4"/>
    <w:rsid w:val="6459D4B0"/>
    <w:rsid w:val="6527BC92"/>
    <w:rsid w:val="678D94A2"/>
    <w:rsid w:val="67C3E623"/>
    <w:rsid w:val="6934B75F"/>
    <w:rsid w:val="69CAB5FA"/>
    <w:rsid w:val="6DA52348"/>
    <w:rsid w:val="6E8BE29E"/>
    <w:rsid w:val="700426C7"/>
    <w:rsid w:val="7099520A"/>
    <w:rsid w:val="7285C2D3"/>
    <w:rsid w:val="75341EDE"/>
    <w:rsid w:val="770CDAF0"/>
    <w:rsid w:val="77B13984"/>
    <w:rsid w:val="7B0C3AC0"/>
    <w:rsid w:val="7B215816"/>
    <w:rsid w:val="7BE2E645"/>
    <w:rsid w:val="7C58992A"/>
    <w:rsid w:val="7E9D9FB1"/>
    <w:rsid w:val="7FF697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F97212"/>
  <w14:defaultImageDpi w14:val="96"/>
  <w15:docId w15:val="{29E3400E-6613-450D-B0F9-5B3DE9BF6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DBC"/>
    <w:pPr>
      <w:spacing w:after="200" w:line="276" w:lineRule="auto"/>
    </w:pPr>
    <w:rPr>
      <w:lang w:eastAsia="zh-CN"/>
    </w:rPr>
  </w:style>
  <w:style w:type="paragraph" w:styleId="Heading1">
    <w:name w:val="heading 1"/>
    <w:basedOn w:val="Normal"/>
    <w:next w:val="Normal"/>
    <w:link w:val="Heading1Char"/>
    <w:qFormat/>
    <w:locked/>
    <w:rsid w:val="00F77544"/>
    <w:pPr>
      <w:keepNext/>
      <w:keepLines/>
      <w:numPr>
        <w:numId w:val="21"/>
      </w:numPr>
      <w:spacing w:before="240" w:after="0"/>
      <w:outlineLvl w:val="0"/>
    </w:pPr>
    <w:rPr>
      <w:rFonts w:ascii="Calibri Light" w:eastAsiaTheme="majorEastAsia" w:hAnsi="Calibri Light" w:cs="Calibri"/>
      <w:color w:val="365F91" w:themeColor="accent1" w:themeShade="BF"/>
      <w:sz w:val="32"/>
      <w:szCs w:val="32"/>
    </w:rPr>
  </w:style>
  <w:style w:type="paragraph" w:styleId="Heading2">
    <w:name w:val="heading 2"/>
    <w:basedOn w:val="Normal"/>
    <w:next w:val="Normal"/>
    <w:link w:val="Heading2Char"/>
    <w:unhideWhenUsed/>
    <w:qFormat/>
    <w:locked/>
    <w:rsid w:val="00F77544"/>
    <w:pPr>
      <w:keepNext/>
      <w:keepLines/>
      <w:numPr>
        <w:ilvl w:val="1"/>
        <w:numId w:val="21"/>
      </w:numPr>
      <w:spacing w:before="40" w:after="0"/>
      <w:outlineLvl w:val="1"/>
    </w:pPr>
    <w:rPr>
      <w:rFonts w:ascii="Calibri Light" w:eastAsiaTheme="majorEastAsia" w:hAnsi="Calibri Light" w:cstheme="minorHAnsi"/>
      <w:color w:val="365F91" w:themeColor="accent1" w:themeShade="BF"/>
      <w:sz w:val="26"/>
      <w:szCs w:val="26"/>
    </w:rPr>
  </w:style>
  <w:style w:type="paragraph" w:styleId="Heading3">
    <w:name w:val="heading 3"/>
    <w:basedOn w:val="Normal"/>
    <w:next w:val="Normal"/>
    <w:link w:val="Heading3Char"/>
    <w:unhideWhenUsed/>
    <w:qFormat/>
    <w:locked/>
    <w:rsid w:val="003917BE"/>
    <w:pPr>
      <w:keepNext/>
      <w:keepLines/>
      <w:numPr>
        <w:ilvl w:val="2"/>
        <w:numId w:val="21"/>
      </w:numPr>
      <w:spacing w:before="40" w:after="0"/>
      <w:outlineLvl w:val="2"/>
    </w:pPr>
    <w:rPr>
      <w:rFonts w:asciiTheme="minorHAnsi" w:eastAsiaTheme="majorEastAsia" w:hAnsiTheme="minorHAnsi" w:cstheme="minorHAnsi"/>
      <w:color w:val="243F60" w:themeColor="accent1" w:themeShade="7F"/>
      <w:sz w:val="24"/>
      <w:szCs w:val="24"/>
    </w:rPr>
  </w:style>
  <w:style w:type="paragraph" w:styleId="Heading4">
    <w:name w:val="heading 4"/>
    <w:basedOn w:val="Normal"/>
    <w:next w:val="Normal"/>
    <w:link w:val="Heading4Char"/>
    <w:unhideWhenUsed/>
    <w:qFormat/>
    <w:locked/>
    <w:rsid w:val="003917BE"/>
    <w:pPr>
      <w:keepNext/>
      <w:keepLines/>
      <w:numPr>
        <w:ilvl w:val="3"/>
        <w:numId w:val="21"/>
      </w:numPr>
      <w:spacing w:before="40" w:after="0"/>
      <w:outlineLvl w:val="3"/>
    </w:pPr>
    <w:rPr>
      <w:rFonts w:asciiTheme="minorHAnsi" w:eastAsiaTheme="majorEastAsia" w:hAnsiTheme="minorHAnsi" w:cstheme="minorHAnsi"/>
      <w:i/>
      <w:iCs/>
      <w:color w:val="365F91" w:themeColor="accent1" w:themeShade="BF"/>
    </w:rPr>
  </w:style>
  <w:style w:type="paragraph" w:styleId="Heading5">
    <w:name w:val="heading 5"/>
    <w:basedOn w:val="Normal"/>
    <w:next w:val="Normal"/>
    <w:link w:val="Heading5Char"/>
    <w:semiHidden/>
    <w:unhideWhenUsed/>
    <w:qFormat/>
    <w:locked/>
    <w:rsid w:val="00AC2BE2"/>
    <w:pPr>
      <w:keepNext/>
      <w:keepLines/>
      <w:numPr>
        <w:ilvl w:val="4"/>
        <w:numId w:val="2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locked/>
    <w:rsid w:val="00AC2BE2"/>
    <w:pPr>
      <w:keepNext/>
      <w:keepLines/>
      <w:numPr>
        <w:ilvl w:val="5"/>
        <w:numId w:val="2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locked/>
    <w:rsid w:val="00AC2BE2"/>
    <w:pPr>
      <w:keepNext/>
      <w:keepLines/>
      <w:numPr>
        <w:ilvl w:val="6"/>
        <w:numId w:val="2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locked/>
    <w:rsid w:val="00AC2BE2"/>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AC2BE2"/>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830074"/>
    <w:rPr>
      <w:rFonts w:cs="Times New Roman"/>
      <w:sz w:val="16"/>
    </w:rPr>
  </w:style>
  <w:style w:type="paragraph" w:styleId="CommentText">
    <w:name w:val="annotation text"/>
    <w:basedOn w:val="Normal"/>
    <w:link w:val="CommentTextChar"/>
    <w:uiPriority w:val="99"/>
    <w:semiHidden/>
    <w:rsid w:val="0083007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30074"/>
    <w:rPr>
      <w:sz w:val="20"/>
    </w:rPr>
  </w:style>
  <w:style w:type="paragraph" w:styleId="CommentSubject">
    <w:name w:val="annotation subject"/>
    <w:basedOn w:val="CommentText"/>
    <w:next w:val="CommentText"/>
    <w:link w:val="CommentSubjectChar"/>
    <w:uiPriority w:val="99"/>
    <w:semiHidden/>
    <w:rsid w:val="00830074"/>
    <w:rPr>
      <w:b/>
      <w:bCs/>
    </w:rPr>
  </w:style>
  <w:style w:type="character" w:customStyle="1" w:styleId="CommentSubjectChar">
    <w:name w:val="Comment Subject Char"/>
    <w:basedOn w:val="CommentTextChar"/>
    <w:link w:val="CommentSubject"/>
    <w:uiPriority w:val="99"/>
    <w:semiHidden/>
    <w:locked/>
    <w:rsid w:val="00830074"/>
    <w:rPr>
      <w:b/>
      <w:sz w:val="20"/>
    </w:rPr>
  </w:style>
  <w:style w:type="paragraph" w:styleId="BalloonText">
    <w:name w:val="Balloon Text"/>
    <w:basedOn w:val="Normal"/>
    <w:link w:val="BalloonTextChar"/>
    <w:uiPriority w:val="99"/>
    <w:semiHidden/>
    <w:rsid w:val="00830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0074"/>
    <w:rPr>
      <w:rFonts w:ascii="Tahoma" w:hAnsi="Tahoma"/>
      <w:sz w:val="16"/>
    </w:rPr>
  </w:style>
  <w:style w:type="table" w:styleId="TableGrid">
    <w:name w:val="Table Grid"/>
    <w:basedOn w:val="TableNormal"/>
    <w:uiPriority w:val="39"/>
    <w:rsid w:val="001151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1"/>
    <w:basedOn w:val="Normal"/>
    <w:link w:val="ListParagraphChar"/>
    <w:uiPriority w:val="34"/>
    <w:qFormat/>
    <w:rsid w:val="00833FA7"/>
    <w:pPr>
      <w:ind w:left="720"/>
      <w:contextualSpacing/>
    </w:pPr>
  </w:style>
  <w:style w:type="paragraph" w:styleId="Revision">
    <w:name w:val="Revision"/>
    <w:hidden/>
    <w:uiPriority w:val="99"/>
    <w:semiHidden/>
    <w:rsid w:val="00F65091"/>
    <w:rPr>
      <w:lang w:eastAsia="zh-CN"/>
    </w:rPr>
  </w:style>
  <w:style w:type="paragraph" w:styleId="Header">
    <w:name w:val="header"/>
    <w:basedOn w:val="Normal"/>
    <w:link w:val="HeaderChar"/>
    <w:uiPriority w:val="99"/>
    <w:unhideWhenUsed/>
    <w:rsid w:val="00E569DF"/>
    <w:pPr>
      <w:tabs>
        <w:tab w:val="center" w:pos="4680"/>
        <w:tab w:val="right" w:pos="9360"/>
      </w:tabs>
    </w:pPr>
  </w:style>
  <w:style w:type="character" w:customStyle="1" w:styleId="HeaderChar">
    <w:name w:val="Header Char"/>
    <w:basedOn w:val="DefaultParagraphFont"/>
    <w:link w:val="Header"/>
    <w:uiPriority w:val="99"/>
    <w:rsid w:val="00E569DF"/>
    <w:rPr>
      <w:lang w:eastAsia="zh-CN"/>
    </w:rPr>
  </w:style>
  <w:style w:type="paragraph" w:styleId="Footer">
    <w:name w:val="footer"/>
    <w:basedOn w:val="Normal"/>
    <w:link w:val="FooterChar"/>
    <w:uiPriority w:val="99"/>
    <w:unhideWhenUsed/>
    <w:rsid w:val="00E569DF"/>
    <w:pPr>
      <w:tabs>
        <w:tab w:val="center" w:pos="4680"/>
        <w:tab w:val="right" w:pos="9360"/>
      </w:tabs>
    </w:pPr>
  </w:style>
  <w:style w:type="character" w:customStyle="1" w:styleId="FooterChar">
    <w:name w:val="Footer Char"/>
    <w:basedOn w:val="DefaultParagraphFont"/>
    <w:link w:val="Footer"/>
    <w:uiPriority w:val="99"/>
    <w:rsid w:val="00E569DF"/>
    <w:rPr>
      <w:lang w:eastAsia="zh-CN"/>
    </w:rPr>
  </w:style>
  <w:style w:type="paragraph" w:styleId="EndnoteText">
    <w:name w:val="endnote text"/>
    <w:basedOn w:val="Normal"/>
    <w:link w:val="EndnoteTextChar"/>
    <w:uiPriority w:val="99"/>
    <w:semiHidden/>
    <w:unhideWhenUsed/>
    <w:rsid w:val="00D9381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9381E"/>
    <w:rPr>
      <w:sz w:val="20"/>
      <w:szCs w:val="20"/>
      <w:lang w:eastAsia="zh-CN"/>
    </w:rPr>
  </w:style>
  <w:style w:type="character" w:styleId="EndnoteReference">
    <w:name w:val="endnote reference"/>
    <w:basedOn w:val="DefaultParagraphFont"/>
    <w:uiPriority w:val="99"/>
    <w:semiHidden/>
    <w:unhideWhenUsed/>
    <w:rsid w:val="00D9381E"/>
    <w:rPr>
      <w:vertAlign w:val="superscript"/>
    </w:rPr>
  </w:style>
  <w:style w:type="paragraph" w:styleId="FootnoteText">
    <w:name w:val="footnote text"/>
    <w:basedOn w:val="Normal"/>
    <w:link w:val="FootnoteTextChar"/>
    <w:uiPriority w:val="99"/>
    <w:unhideWhenUsed/>
    <w:rsid w:val="00D9381E"/>
    <w:pPr>
      <w:spacing w:after="0" w:line="240" w:lineRule="auto"/>
    </w:pPr>
    <w:rPr>
      <w:sz w:val="20"/>
      <w:szCs w:val="20"/>
    </w:rPr>
  </w:style>
  <w:style w:type="character" w:customStyle="1" w:styleId="FootnoteTextChar">
    <w:name w:val="Footnote Text Char"/>
    <w:basedOn w:val="DefaultParagraphFont"/>
    <w:link w:val="FootnoteText"/>
    <w:uiPriority w:val="99"/>
    <w:rsid w:val="00D9381E"/>
    <w:rPr>
      <w:sz w:val="20"/>
      <w:szCs w:val="20"/>
      <w:lang w:eastAsia="zh-CN"/>
    </w:rPr>
  </w:style>
  <w:style w:type="character" w:styleId="FootnoteReference">
    <w:name w:val="footnote reference"/>
    <w:aliases w:val="o"/>
    <w:basedOn w:val="DefaultParagraphFont"/>
    <w:uiPriority w:val="99"/>
    <w:semiHidden/>
    <w:unhideWhenUsed/>
    <w:qFormat/>
    <w:rsid w:val="00D9381E"/>
    <w:rPr>
      <w:vertAlign w:val="superscript"/>
    </w:rPr>
  </w:style>
  <w:style w:type="paragraph" w:styleId="Caption">
    <w:name w:val="caption"/>
    <w:basedOn w:val="Normal"/>
    <w:next w:val="Normal"/>
    <w:uiPriority w:val="35"/>
    <w:unhideWhenUsed/>
    <w:qFormat/>
    <w:locked/>
    <w:rsid w:val="00E70C48"/>
    <w:pPr>
      <w:spacing w:line="240" w:lineRule="auto"/>
    </w:pPr>
    <w:rPr>
      <w:i/>
      <w:iCs/>
      <w:color w:val="1F497D" w:themeColor="text2"/>
      <w:sz w:val="18"/>
      <w:szCs w:val="18"/>
    </w:rPr>
  </w:style>
  <w:style w:type="character" w:customStyle="1" w:styleId="Heading1Char">
    <w:name w:val="Heading 1 Char"/>
    <w:basedOn w:val="DefaultParagraphFont"/>
    <w:link w:val="Heading1"/>
    <w:rsid w:val="00F77544"/>
    <w:rPr>
      <w:rFonts w:ascii="Calibri Light" w:eastAsiaTheme="majorEastAsia" w:hAnsi="Calibri Light" w:cs="Calibri"/>
      <w:color w:val="365F91" w:themeColor="accent1" w:themeShade="BF"/>
      <w:sz w:val="32"/>
      <w:szCs w:val="32"/>
      <w:lang w:eastAsia="zh-CN"/>
    </w:rPr>
  </w:style>
  <w:style w:type="character" w:customStyle="1" w:styleId="Heading2Char">
    <w:name w:val="Heading 2 Char"/>
    <w:basedOn w:val="DefaultParagraphFont"/>
    <w:link w:val="Heading2"/>
    <w:rsid w:val="00F77544"/>
    <w:rPr>
      <w:rFonts w:ascii="Calibri Light" w:eastAsiaTheme="majorEastAsia" w:hAnsi="Calibri Light" w:cstheme="minorHAnsi"/>
      <w:color w:val="365F91" w:themeColor="accent1" w:themeShade="BF"/>
      <w:sz w:val="26"/>
      <w:szCs w:val="26"/>
      <w:lang w:eastAsia="zh-CN"/>
    </w:rPr>
  </w:style>
  <w:style w:type="character" w:customStyle="1" w:styleId="Heading3Char">
    <w:name w:val="Heading 3 Char"/>
    <w:basedOn w:val="DefaultParagraphFont"/>
    <w:link w:val="Heading3"/>
    <w:rsid w:val="003917BE"/>
    <w:rPr>
      <w:rFonts w:asciiTheme="minorHAnsi" w:eastAsiaTheme="majorEastAsia" w:hAnsiTheme="minorHAnsi" w:cstheme="minorHAnsi"/>
      <w:color w:val="243F60" w:themeColor="accent1" w:themeShade="7F"/>
      <w:sz w:val="24"/>
      <w:szCs w:val="24"/>
      <w:lang w:eastAsia="zh-CN"/>
    </w:rPr>
  </w:style>
  <w:style w:type="character" w:styleId="Hyperlink">
    <w:name w:val="Hyperlink"/>
    <w:basedOn w:val="DefaultParagraphFont"/>
    <w:uiPriority w:val="99"/>
    <w:unhideWhenUsed/>
    <w:rsid w:val="00CC2692"/>
    <w:rPr>
      <w:color w:val="0000FF"/>
      <w:u w:val="single"/>
    </w:rPr>
  </w:style>
  <w:style w:type="character" w:customStyle="1" w:styleId="Heading4Char">
    <w:name w:val="Heading 4 Char"/>
    <w:basedOn w:val="DefaultParagraphFont"/>
    <w:link w:val="Heading4"/>
    <w:rsid w:val="003917BE"/>
    <w:rPr>
      <w:rFonts w:asciiTheme="minorHAnsi" w:eastAsiaTheme="majorEastAsia" w:hAnsiTheme="minorHAnsi" w:cstheme="minorHAnsi"/>
      <w:i/>
      <w:iCs/>
      <w:color w:val="365F91" w:themeColor="accent1" w:themeShade="BF"/>
      <w:lang w:eastAsia="zh-CN"/>
    </w:rPr>
  </w:style>
  <w:style w:type="character" w:customStyle="1" w:styleId="ListParagraphChar">
    <w:name w:val="List Paragraph Char"/>
    <w:aliases w:val="Bullet List 1 Char"/>
    <w:basedOn w:val="DefaultParagraphFont"/>
    <w:link w:val="ListParagraph"/>
    <w:uiPriority w:val="34"/>
    <w:rsid w:val="00AF5D42"/>
    <w:rPr>
      <w:lang w:eastAsia="zh-CN"/>
    </w:rPr>
  </w:style>
  <w:style w:type="character" w:customStyle="1" w:styleId="Heading5Char">
    <w:name w:val="Heading 5 Char"/>
    <w:basedOn w:val="DefaultParagraphFont"/>
    <w:link w:val="Heading5"/>
    <w:semiHidden/>
    <w:rsid w:val="00AC2BE2"/>
    <w:rPr>
      <w:rFonts w:asciiTheme="majorHAnsi" w:eastAsiaTheme="majorEastAsia" w:hAnsiTheme="majorHAnsi" w:cstheme="majorBidi"/>
      <w:color w:val="365F91" w:themeColor="accent1" w:themeShade="BF"/>
      <w:lang w:eastAsia="zh-CN"/>
    </w:rPr>
  </w:style>
  <w:style w:type="character" w:customStyle="1" w:styleId="Heading6Char">
    <w:name w:val="Heading 6 Char"/>
    <w:basedOn w:val="DefaultParagraphFont"/>
    <w:link w:val="Heading6"/>
    <w:semiHidden/>
    <w:rsid w:val="00AC2BE2"/>
    <w:rPr>
      <w:rFonts w:asciiTheme="majorHAnsi" w:eastAsiaTheme="majorEastAsia" w:hAnsiTheme="majorHAnsi" w:cstheme="majorBidi"/>
      <w:color w:val="243F60" w:themeColor="accent1" w:themeShade="7F"/>
      <w:lang w:eastAsia="zh-CN"/>
    </w:rPr>
  </w:style>
  <w:style w:type="character" w:customStyle="1" w:styleId="Heading7Char">
    <w:name w:val="Heading 7 Char"/>
    <w:basedOn w:val="DefaultParagraphFont"/>
    <w:link w:val="Heading7"/>
    <w:semiHidden/>
    <w:rsid w:val="00AC2BE2"/>
    <w:rPr>
      <w:rFonts w:asciiTheme="majorHAnsi" w:eastAsiaTheme="majorEastAsia" w:hAnsiTheme="majorHAnsi" w:cstheme="majorBidi"/>
      <w:i/>
      <w:iCs/>
      <w:color w:val="243F60" w:themeColor="accent1" w:themeShade="7F"/>
      <w:lang w:eastAsia="zh-CN"/>
    </w:rPr>
  </w:style>
  <w:style w:type="character" w:customStyle="1" w:styleId="Heading8Char">
    <w:name w:val="Heading 8 Char"/>
    <w:basedOn w:val="DefaultParagraphFont"/>
    <w:link w:val="Heading8"/>
    <w:semiHidden/>
    <w:rsid w:val="00AC2BE2"/>
    <w:rPr>
      <w:rFonts w:asciiTheme="majorHAnsi" w:eastAsiaTheme="majorEastAsia" w:hAnsiTheme="majorHAnsi" w:cstheme="majorBidi"/>
      <w:color w:val="272727" w:themeColor="text1" w:themeTint="D8"/>
      <w:sz w:val="21"/>
      <w:szCs w:val="21"/>
      <w:lang w:eastAsia="zh-CN"/>
    </w:rPr>
  </w:style>
  <w:style w:type="character" w:customStyle="1" w:styleId="Heading9Char">
    <w:name w:val="Heading 9 Char"/>
    <w:basedOn w:val="DefaultParagraphFont"/>
    <w:link w:val="Heading9"/>
    <w:semiHidden/>
    <w:rsid w:val="00AC2BE2"/>
    <w:rPr>
      <w:rFonts w:asciiTheme="majorHAnsi" w:eastAsiaTheme="majorEastAsia" w:hAnsiTheme="majorHAnsi" w:cstheme="majorBidi"/>
      <w:i/>
      <w:iCs/>
      <w:color w:val="272727" w:themeColor="text1" w:themeTint="D8"/>
      <w:sz w:val="21"/>
      <w:szCs w:val="21"/>
      <w:lang w:eastAsia="zh-CN"/>
    </w:rPr>
  </w:style>
  <w:style w:type="paragraph" w:styleId="TOCHeading">
    <w:name w:val="TOC Heading"/>
    <w:basedOn w:val="Heading1"/>
    <w:next w:val="Normal"/>
    <w:uiPriority w:val="39"/>
    <w:unhideWhenUsed/>
    <w:qFormat/>
    <w:rsid w:val="003917BE"/>
    <w:pPr>
      <w:numPr>
        <w:numId w:val="0"/>
      </w:numPr>
      <w:spacing w:before="480"/>
      <w:outlineLvl w:val="9"/>
    </w:pPr>
    <w:rPr>
      <w:rFonts w:asciiTheme="majorHAnsi" w:hAnsiTheme="majorHAnsi" w:cstheme="majorBidi"/>
      <w:b/>
      <w:bCs/>
      <w:sz w:val="28"/>
      <w:szCs w:val="28"/>
      <w:lang w:eastAsia="en-US"/>
    </w:rPr>
  </w:style>
  <w:style w:type="paragraph" w:styleId="TOC1">
    <w:name w:val="toc 1"/>
    <w:basedOn w:val="Normal"/>
    <w:next w:val="Normal"/>
    <w:autoRedefine/>
    <w:uiPriority w:val="39"/>
    <w:locked/>
    <w:rsid w:val="003917BE"/>
    <w:pPr>
      <w:spacing w:before="120" w:after="0"/>
    </w:pPr>
    <w:rPr>
      <w:rFonts w:asciiTheme="minorHAnsi" w:hAnsiTheme="minorHAnsi" w:cstheme="minorHAnsi"/>
      <w:bCs/>
      <w:iCs/>
      <w:szCs w:val="24"/>
    </w:rPr>
  </w:style>
  <w:style w:type="paragraph" w:styleId="TOC2">
    <w:name w:val="toc 2"/>
    <w:basedOn w:val="Normal"/>
    <w:next w:val="Normal"/>
    <w:autoRedefine/>
    <w:uiPriority w:val="39"/>
    <w:locked/>
    <w:rsid w:val="003917BE"/>
    <w:pPr>
      <w:spacing w:before="120" w:after="0"/>
      <w:ind w:left="220"/>
    </w:pPr>
    <w:rPr>
      <w:rFonts w:asciiTheme="minorHAnsi" w:hAnsiTheme="minorHAnsi" w:cstheme="minorHAnsi"/>
      <w:bCs/>
    </w:rPr>
  </w:style>
  <w:style w:type="paragraph" w:styleId="TOC3">
    <w:name w:val="toc 3"/>
    <w:basedOn w:val="Normal"/>
    <w:next w:val="Normal"/>
    <w:autoRedefine/>
    <w:uiPriority w:val="39"/>
    <w:locked/>
    <w:rsid w:val="003917BE"/>
    <w:pPr>
      <w:spacing w:before="120" w:after="120"/>
      <w:ind w:left="440"/>
    </w:pPr>
    <w:rPr>
      <w:rFonts w:asciiTheme="minorHAnsi" w:hAnsiTheme="minorHAnsi" w:cstheme="minorHAnsi"/>
      <w:szCs w:val="20"/>
    </w:rPr>
  </w:style>
  <w:style w:type="paragraph" w:styleId="TOC4">
    <w:name w:val="toc 4"/>
    <w:basedOn w:val="Normal"/>
    <w:next w:val="Normal"/>
    <w:autoRedefine/>
    <w:locked/>
    <w:rsid w:val="003917BE"/>
    <w:pPr>
      <w:spacing w:after="0"/>
      <w:ind w:left="660"/>
    </w:pPr>
    <w:rPr>
      <w:rFonts w:asciiTheme="minorHAnsi" w:hAnsiTheme="minorHAnsi" w:cstheme="minorHAnsi"/>
      <w:sz w:val="20"/>
      <w:szCs w:val="20"/>
    </w:rPr>
  </w:style>
  <w:style w:type="paragraph" w:styleId="TOC5">
    <w:name w:val="toc 5"/>
    <w:basedOn w:val="Normal"/>
    <w:next w:val="Normal"/>
    <w:autoRedefine/>
    <w:locked/>
    <w:rsid w:val="003917BE"/>
    <w:pPr>
      <w:spacing w:after="0"/>
      <w:ind w:left="880"/>
    </w:pPr>
    <w:rPr>
      <w:rFonts w:asciiTheme="minorHAnsi" w:hAnsiTheme="minorHAnsi" w:cstheme="minorHAnsi"/>
      <w:sz w:val="20"/>
      <w:szCs w:val="20"/>
    </w:rPr>
  </w:style>
  <w:style w:type="paragraph" w:styleId="TOC6">
    <w:name w:val="toc 6"/>
    <w:basedOn w:val="Normal"/>
    <w:next w:val="Normal"/>
    <w:autoRedefine/>
    <w:locked/>
    <w:rsid w:val="003917BE"/>
    <w:pPr>
      <w:spacing w:after="0"/>
      <w:ind w:left="1100"/>
    </w:pPr>
    <w:rPr>
      <w:rFonts w:asciiTheme="minorHAnsi" w:hAnsiTheme="minorHAnsi" w:cstheme="minorHAnsi"/>
      <w:sz w:val="20"/>
      <w:szCs w:val="20"/>
    </w:rPr>
  </w:style>
  <w:style w:type="paragraph" w:styleId="TOC7">
    <w:name w:val="toc 7"/>
    <w:basedOn w:val="Normal"/>
    <w:next w:val="Normal"/>
    <w:autoRedefine/>
    <w:locked/>
    <w:rsid w:val="003917BE"/>
    <w:pPr>
      <w:spacing w:after="0"/>
      <w:ind w:left="1320"/>
    </w:pPr>
    <w:rPr>
      <w:rFonts w:asciiTheme="minorHAnsi" w:hAnsiTheme="minorHAnsi" w:cstheme="minorHAnsi"/>
      <w:sz w:val="20"/>
      <w:szCs w:val="20"/>
    </w:rPr>
  </w:style>
  <w:style w:type="paragraph" w:styleId="TOC8">
    <w:name w:val="toc 8"/>
    <w:basedOn w:val="Normal"/>
    <w:next w:val="Normal"/>
    <w:autoRedefine/>
    <w:locked/>
    <w:rsid w:val="003917BE"/>
    <w:pPr>
      <w:spacing w:after="0"/>
      <w:ind w:left="1540"/>
    </w:pPr>
    <w:rPr>
      <w:rFonts w:asciiTheme="minorHAnsi" w:hAnsiTheme="minorHAnsi" w:cstheme="minorHAnsi"/>
      <w:sz w:val="20"/>
      <w:szCs w:val="20"/>
    </w:rPr>
  </w:style>
  <w:style w:type="paragraph" w:styleId="TOC9">
    <w:name w:val="toc 9"/>
    <w:basedOn w:val="Normal"/>
    <w:next w:val="Normal"/>
    <w:autoRedefine/>
    <w:locked/>
    <w:rsid w:val="003917BE"/>
    <w:pPr>
      <w:spacing w:after="0"/>
      <w:ind w:left="1760"/>
    </w:pPr>
    <w:rPr>
      <w:rFonts w:asciiTheme="minorHAnsi" w:hAnsiTheme="minorHAnsi" w:cstheme="minorHAnsi"/>
      <w:sz w:val="20"/>
      <w:szCs w:val="20"/>
    </w:rPr>
  </w:style>
  <w:style w:type="character" w:styleId="UnresolvedMention">
    <w:name w:val="Unresolved Mention"/>
    <w:basedOn w:val="DefaultParagraphFont"/>
    <w:uiPriority w:val="99"/>
    <w:unhideWhenUsed/>
    <w:rsid w:val="00BF3426"/>
    <w:rPr>
      <w:color w:val="605E5C"/>
      <w:shd w:val="clear" w:color="auto" w:fill="E1DFDD"/>
    </w:rPr>
  </w:style>
  <w:style w:type="character" w:styleId="FollowedHyperlink">
    <w:name w:val="FollowedHyperlink"/>
    <w:basedOn w:val="DefaultParagraphFont"/>
    <w:uiPriority w:val="99"/>
    <w:semiHidden/>
    <w:unhideWhenUsed/>
    <w:rsid w:val="00097AC9"/>
    <w:rPr>
      <w:color w:val="800080" w:themeColor="followedHyperlink"/>
      <w:u w:val="single"/>
    </w:rPr>
  </w:style>
  <w:style w:type="character" w:styleId="Mention">
    <w:name w:val="Mention"/>
    <w:basedOn w:val="DefaultParagraphFont"/>
    <w:uiPriority w:val="99"/>
    <w:unhideWhenUsed/>
    <w:rsid w:val="00B20B85"/>
    <w:rPr>
      <w:color w:val="2B579A"/>
      <w:shd w:val="clear" w:color="auto" w:fill="E1DFDD"/>
    </w:rPr>
  </w:style>
  <w:style w:type="table" w:styleId="GridTable4-Accent1">
    <w:name w:val="Grid Table 4 Accent 1"/>
    <w:basedOn w:val="TableNormal"/>
    <w:uiPriority w:val="49"/>
    <w:rsid w:val="00F7754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1">
    <w:name w:val="List Table 3 Accent 1"/>
    <w:basedOn w:val="TableNormal"/>
    <w:uiPriority w:val="48"/>
    <w:rsid w:val="003D010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4-Accent1">
    <w:name w:val="List Table 4 Accent 1"/>
    <w:basedOn w:val="TableNormal"/>
    <w:uiPriority w:val="49"/>
    <w:rsid w:val="003D010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2">
    <w:name w:val="List Table 3 Accent 2"/>
    <w:basedOn w:val="TableNormal"/>
    <w:uiPriority w:val="48"/>
    <w:rsid w:val="003D010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20225">
      <w:bodyDiv w:val="1"/>
      <w:marLeft w:val="0"/>
      <w:marRight w:val="0"/>
      <w:marTop w:val="0"/>
      <w:marBottom w:val="0"/>
      <w:divBdr>
        <w:top w:val="none" w:sz="0" w:space="0" w:color="auto"/>
        <w:left w:val="none" w:sz="0" w:space="0" w:color="auto"/>
        <w:bottom w:val="none" w:sz="0" w:space="0" w:color="auto"/>
        <w:right w:val="none" w:sz="0" w:space="0" w:color="auto"/>
      </w:divBdr>
    </w:div>
    <w:div w:id="176431096">
      <w:bodyDiv w:val="1"/>
      <w:marLeft w:val="0"/>
      <w:marRight w:val="0"/>
      <w:marTop w:val="0"/>
      <w:marBottom w:val="0"/>
      <w:divBdr>
        <w:top w:val="none" w:sz="0" w:space="0" w:color="auto"/>
        <w:left w:val="none" w:sz="0" w:space="0" w:color="auto"/>
        <w:bottom w:val="none" w:sz="0" w:space="0" w:color="auto"/>
        <w:right w:val="none" w:sz="0" w:space="0" w:color="auto"/>
      </w:divBdr>
    </w:div>
    <w:div w:id="474883213">
      <w:bodyDiv w:val="1"/>
      <w:marLeft w:val="0"/>
      <w:marRight w:val="0"/>
      <w:marTop w:val="0"/>
      <w:marBottom w:val="0"/>
      <w:divBdr>
        <w:top w:val="none" w:sz="0" w:space="0" w:color="auto"/>
        <w:left w:val="none" w:sz="0" w:space="0" w:color="auto"/>
        <w:bottom w:val="none" w:sz="0" w:space="0" w:color="auto"/>
        <w:right w:val="none" w:sz="0" w:space="0" w:color="auto"/>
      </w:divBdr>
    </w:div>
    <w:div w:id="760763619">
      <w:bodyDiv w:val="1"/>
      <w:marLeft w:val="0"/>
      <w:marRight w:val="0"/>
      <w:marTop w:val="0"/>
      <w:marBottom w:val="0"/>
      <w:divBdr>
        <w:top w:val="none" w:sz="0" w:space="0" w:color="auto"/>
        <w:left w:val="none" w:sz="0" w:space="0" w:color="auto"/>
        <w:bottom w:val="none" w:sz="0" w:space="0" w:color="auto"/>
        <w:right w:val="none" w:sz="0" w:space="0" w:color="auto"/>
      </w:divBdr>
    </w:div>
    <w:div w:id="770592625">
      <w:bodyDiv w:val="1"/>
      <w:marLeft w:val="0"/>
      <w:marRight w:val="0"/>
      <w:marTop w:val="0"/>
      <w:marBottom w:val="0"/>
      <w:divBdr>
        <w:top w:val="none" w:sz="0" w:space="0" w:color="auto"/>
        <w:left w:val="none" w:sz="0" w:space="0" w:color="auto"/>
        <w:bottom w:val="none" w:sz="0" w:space="0" w:color="auto"/>
        <w:right w:val="none" w:sz="0" w:space="0" w:color="auto"/>
      </w:divBdr>
    </w:div>
    <w:div w:id="784619003">
      <w:marLeft w:val="0"/>
      <w:marRight w:val="0"/>
      <w:marTop w:val="0"/>
      <w:marBottom w:val="0"/>
      <w:divBdr>
        <w:top w:val="none" w:sz="0" w:space="0" w:color="auto"/>
        <w:left w:val="none" w:sz="0" w:space="0" w:color="auto"/>
        <w:bottom w:val="none" w:sz="0" w:space="0" w:color="auto"/>
        <w:right w:val="none" w:sz="0" w:space="0" w:color="auto"/>
      </w:divBdr>
    </w:div>
    <w:div w:id="1020665027">
      <w:bodyDiv w:val="1"/>
      <w:marLeft w:val="0"/>
      <w:marRight w:val="0"/>
      <w:marTop w:val="0"/>
      <w:marBottom w:val="0"/>
      <w:divBdr>
        <w:top w:val="none" w:sz="0" w:space="0" w:color="auto"/>
        <w:left w:val="none" w:sz="0" w:space="0" w:color="auto"/>
        <w:bottom w:val="none" w:sz="0" w:space="0" w:color="auto"/>
        <w:right w:val="none" w:sz="0" w:space="0" w:color="auto"/>
      </w:divBdr>
    </w:div>
    <w:div w:id="1040016874">
      <w:bodyDiv w:val="1"/>
      <w:marLeft w:val="0"/>
      <w:marRight w:val="0"/>
      <w:marTop w:val="0"/>
      <w:marBottom w:val="0"/>
      <w:divBdr>
        <w:top w:val="none" w:sz="0" w:space="0" w:color="auto"/>
        <w:left w:val="none" w:sz="0" w:space="0" w:color="auto"/>
        <w:bottom w:val="none" w:sz="0" w:space="0" w:color="auto"/>
        <w:right w:val="none" w:sz="0" w:space="0" w:color="auto"/>
      </w:divBdr>
    </w:div>
    <w:div w:id="1236862676">
      <w:bodyDiv w:val="1"/>
      <w:marLeft w:val="0"/>
      <w:marRight w:val="0"/>
      <w:marTop w:val="0"/>
      <w:marBottom w:val="0"/>
      <w:divBdr>
        <w:top w:val="none" w:sz="0" w:space="0" w:color="auto"/>
        <w:left w:val="none" w:sz="0" w:space="0" w:color="auto"/>
        <w:bottom w:val="none" w:sz="0" w:space="0" w:color="auto"/>
        <w:right w:val="none" w:sz="0" w:space="0" w:color="auto"/>
      </w:divBdr>
    </w:div>
    <w:div w:id="1351444916">
      <w:bodyDiv w:val="1"/>
      <w:marLeft w:val="0"/>
      <w:marRight w:val="0"/>
      <w:marTop w:val="0"/>
      <w:marBottom w:val="0"/>
      <w:divBdr>
        <w:top w:val="none" w:sz="0" w:space="0" w:color="auto"/>
        <w:left w:val="none" w:sz="0" w:space="0" w:color="auto"/>
        <w:bottom w:val="none" w:sz="0" w:space="0" w:color="auto"/>
        <w:right w:val="none" w:sz="0" w:space="0" w:color="auto"/>
      </w:divBdr>
    </w:div>
    <w:div w:id="1864435676">
      <w:bodyDiv w:val="1"/>
      <w:marLeft w:val="0"/>
      <w:marRight w:val="0"/>
      <w:marTop w:val="0"/>
      <w:marBottom w:val="0"/>
      <w:divBdr>
        <w:top w:val="none" w:sz="0" w:space="0" w:color="auto"/>
        <w:left w:val="none" w:sz="0" w:space="0" w:color="auto"/>
        <w:bottom w:val="none" w:sz="0" w:space="0" w:color="auto"/>
        <w:right w:val="none" w:sz="0" w:space="0" w:color="auto"/>
      </w:divBdr>
    </w:div>
    <w:div w:id="1886939797">
      <w:bodyDiv w:val="1"/>
      <w:marLeft w:val="0"/>
      <w:marRight w:val="0"/>
      <w:marTop w:val="0"/>
      <w:marBottom w:val="0"/>
      <w:divBdr>
        <w:top w:val="none" w:sz="0" w:space="0" w:color="auto"/>
        <w:left w:val="none" w:sz="0" w:space="0" w:color="auto"/>
        <w:bottom w:val="none" w:sz="0" w:space="0" w:color="auto"/>
        <w:right w:val="none" w:sz="0" w:space="0" w:color="auto"/>
      </w:divBdr>
    </w:div>
    <w:div w:id="1916551608">
      <w:bodyDiv w:val="1"/>
      <w:marLeft w:val="0"/>
      <w:marRight w:val="0"/>
      <w:marTop w:val="0"/>
      <w:marBottom w:val="0"/>
      <w:divBdr>
        <w:top w:val="none" w:sz="0" w:space="0" w:color="auto"/>
        <w:left w:val="none" w:sz="0" w:space="0" w:color="auto"/>
        <w:bottom w:val="none" w:sz="0" w:space="0" w:color="auto"/>
        <w:right w:val="none" w:sz="0" w:space="0" w:color="auto"/>
      </w:divBdr>
    </w:div>
    <w:div w:id="1949503217">
      <w:bodyDiv w:val="1"/>
      <w:marLeft w:val="0"/>
      <w:marRight w:val="0"/>
      <w:marTop w:val="0"/>
      <w:marBottom w:val="0"/>
      <w:divBdr>
        <w:top w:val="none" w:sz="0" w:space="0" w:color="auto"/>
        <w:left w:val="none" w:sz="0" w:space="0" w:color="auto"/>
        <w:bottom w:val="none" w:sz="0" w:space="0" w:color="auto"/>
        <w:right w:val="none" w:sz="0" w:space="0" w:color="auto"/>
      </w:divBdr>
    </w:div>
    <w:div w:id="1986622715">
      <w:bodyDiv w:val="1"/>
      <w:marLeft w:val="0"/>
      <w:marRight w:val="0"/>
      <w:marTop w:val="0"/>
      <w:marBottom w:val="0"/>
      <w:divBdr>
        <w:top w:val="none" w:sz="0" w:space="0" w:color="auto"/>
        <w:left w:val="none" w:sz="0" w:space="0" w:color="auto"/>
        <w:bottom w:val="none" w:sz="0" w:space="0" w:color="auto"/>
        <w:right w:val="none" w:sz="0" w:space="0" w:color="auto"/>
      </w:divBdr>
    </w:div>
    <w:div w:id="206290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ripuc.ri.gov/eventsactions/docket/5076%20National%20Grid%20EEP%20&amp;%203-Yr%20EEP/1%20Synapse%20RI%20Gas%20RBI%20Report%2010_2_20.pdf" TargetMode="External"/><Relationship Id="rId1" Type="http://schemas.openxmlformats.org/officeDocument/2006/relationships/hyperlink" Target="http://www.ripuc.ri.gov/eventsactions/docket/5076pag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f9aeb3e-bb99-423b-8a2a-d333a784cd9d" xsi:nil="true"/>
    <lcf76f155ced4ddcb4097134ff3c332f xmlns="25b34247-b4d6-4a0a-9791-39c9cb28269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681A5C6D643874FBCABAF07C1264631" ma:contentTypeVersion="17" ma:contentTypeDescription="Create a new document." ma:contentTypeScope="" ma:versionID="adcd81f6cc8ee1ab8d313faf0a73fb9b">
  <xsd:schema xmlns:xsd="http://www.w3.org/2001/XMLSchema" xmlns:xs="http://www.w3.org/2001/XMLSchema" xmlns:p="http://schemas.microsoft.com/office/2006/metadata/properties" xmlns:ns2="25b34247-b4d6-4a0a-9791-39c9cb282691" xmlns:ns3="6f9aeb3e-bb99-423b-8a2a-d333a784cd9d" targetNamespace="http://schemas.microsoft.com/office/2006/metadata/properties" ma:root="true" ma:fieldsID="7a52b66a5698981143137832889e5df6" ns2:_="" ns3:_="">
    <xsd:import namespace="25b34247-b4d6-4a0a-9791-39c9cb282691"/>
    <xsd:import namespace="6f9aeb3e-bb99-423b-8a2a-d333a784cd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34247-b4d6-4a0a-9791-39c9cb2826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9aeb3e-bb99-423b-8a2a-d333a784cd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beb684e-c344-427f-80c0-8f6f83d637f2}" ma:internalName="TaxCatchAll" ma:showField="CatchAllData" ma:web="6f9aeb3e-bb99-423b-8a2a-d333a784cd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15C9DF-1420-491F-9F91-DF85CDCF525C}">
  <ds:schemaRefs>
    <ds:schemaRef ds:uri="http://schemas.microsoft.com/office/2006/metadata/properties"/>
    <ds:schemaRef ds:uri="http://schemas.microsoft.com/office/infopath/2007/PartnerControls"/>
    <ds:schemaRef ds:uri="6f9aeb3e-bb99-423b-8a2a-d333a784cd9d"/>
    <ds:schemaRef ds:uri="25b34247-b4d6-4a0a-9791-39c9cb282691"/>
  </ds:schemaRefs>
</ds:datastoreItem>
</file>

<file path=customXml/itemProps2.xml><?xml version="1.0" encoding="utf-8"?>
<ds:datastoreItem xmlns:ds="http://schemas.openxmlformats.org/officeDocument/2006/customXml" ds:itemID="{7744949E-A35B-48CC-A7EA-8E2F1024194D}">
  <ds:schemaRefs>
    <ds:schemaRef ds:uri="http://schemas.microsoft.com/sharepoint/v3/contenttype/forms"/>
  </ds:schemaRefs>
</ds:datastoreItem>
</file>

<file path=customXml/itemProps3.xml><?xml version="1.0" encoding="utf-8"?>
<ds:datastoreItem xmlns:ds="http://schemas.openxmlformats.org/officeDocument/2006/customXml" ds:itemID="{3C6A4B4B-A167-4961-A64F-12792B8C4424}">
  <ds:schemaRefs>
    <ds:schemaRef ds:uri="http://schemas.openxmlformats.org/officeDocument/2006/bibliography"/>
  </ds:schemaRefs>
</ds:datastoreItem>
</file>

<file path=customXml/itemProps4.xml><?xml version="1.0" encoding="utf-8"?>
<ds:datastoreItem xmlns:ds="http://schemas.openxmlformats.org/officeDocument/2006/customXml" ds:itemID="{49CCD932-6A59-4865-89B7-1C094A87B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34247-b4d6-4a0a-9791-39c9cb282691"/>
    <ds:schemaRef ds:uri="6f9aeb3e-bb99-423b-8a2a-d333a784c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1</Pages>
  <Words>5369</Words>
  <Characters>30606</Characters>
  <Application>Microsoft Office Word</Application>
  <DocSecurity>0</DocSecurity>
  <Lines>255</Lines>
  <Paragraphs>71</Paragraphs>
  <ScaleCrop>false</ScaleCrop>
  <Company>National Grid</Company>
  <LinksUpToDate>false</LinksUpToDate>
  <CharactersWithSpaces>35904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National Grid</dc:creator>
  <cp:keywords/>
  <cp:lastModifiedBy>Jeremy Newberger</cp:lastModifiedBy>
  <cp:revision>91</cp:revision>
  <cp:lastPrinted>2022-09-09T07:53:00Z</cp:lastPrinted>
  <dcterms:created xsi:type="dcterms:W3CDTF">2023-08-17T14:20:00Z</dcterms:created>
  <dcterms:modified xsi:type="dcterms:W3CDTF">2023-08-21T21:22:00Z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0x0101005681A5C6D643874FBCABAF07C1264631</vt:lpwstr>
  </property>
  <property fmtid="{D5CDD505-2E9C-101B-9397-08002B2CF9AE}" pid="3" name="MediaServiceImageTags">
    <vt:lpwstr/>
  </property>
</Properties>
</file>